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15. 4. - 21.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Do 21. dubna si prostudujte výukový list DvaZapisyPrimky.docx a popasujte se s vloženým úkolem KontrolniZadani.docx. Úzce souvisí s větším množstvím cvičení v TechAmbition, přesto to nemusí být jednoduché.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(Další analyticko-geometrická cvičení v TechAmbition by Vám bez předchozího dobrého pochopení situaci spíše komplikovala. A tak jsem níže vybral něco jiného.)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Do 28. dubna vypracujte dvě nová cvičení v TechAmbition. Jedno je opakováním goniometrických úloh v trojúhelnících, druhé je přípravou na budoucí </w:t>
      </w:r>
      <w:r>
        <w:rPr>
          <w:rFonts w:ascii="Times New Roman" w:hAnsi="Times New Roman"/>
        </w:rPr>
        <w:t xml:space="preserve">(spíše letmé) </w:t>
      </w:r>
      <w:r>
        <w:rPr>
          <w:rFonts w:ascii="Times New Roman" w:hAnsi="Times New Roman"/>
        </w:rPr>
        <w:t xml:space="preserve">téma vztahů přímek v prostoru.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 xml:space="preserve">Další stránky k </w:t>
      </w:r>
      <w:r>
        <w:rPr>
          <w:rFonts w:ascii="Times New Roman" w:hAnsi="Times New Roman"/>
          <w:b/>
          <w:bCs/>
          <w:u w:val="single"/>
        </w:rPr>
        <w:t xml:space="preserve">aktuálnímu </w:t>
      </w:r>
      <w:r>
        <w:rPr>
          <w:rFonts w:ascii="Times New Roman" w:hAnsi="Times New Roman"/>
          <w:b/>
          <w:bCs/>
          <w:u w:val="single"/>
        </w:rPr>
        <w:t>samostudiu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http://www.realisticky.cz/kapitola.php?id=107</w:t>
        </w:r>
      </w:hyperlink>
      <w:r>
        <w:rPr/>
        <w:t xml:space="preserve"> (rozcestník)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https://matematika.cz/parametricka-rovnice-primky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https://matematika.cz/obecna-rovnice-primky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https://matematika.cz/normalovy-vektor-primky</w:t>
        </w:r>
      </w:hyperlink>
      <w:r>
        <w:rPr/>
        <w:t xml:space="preserve"> (trochu náročnější propojení souvislosti)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kapitola.php?id=107" TargetMode="External"/><Relationship Id="rId3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normalovy-vektor-primk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9045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2020-04-15T18:49:07Z</dcterms:modified>
  <cp:revision>26</cp:revision>
</cp:coreProperties>
</file>