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u w:val="single"/>
          <w:b/>
          <w:sz w:val="32"/>
          <w:b/>
          <w:szCs w:val="32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Kontrolní úkol: Posloupnosti, 20. 5. – 26. 5. 2020</w:t>
      </w:r>
      <w:r/>
    </w:p>
    <w:p>
      <w:pPr>
        <w:pStyle w:val="Normal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Rozeznávání posloupností </w:t>
      </w:r>
      <w:r/>
    </w:p>
    <w:p>
      <w:pPr>
        <w:pStyle w:val="Normal"/>
        <w:rPr>
          <w:sz w:val="20"/>
          <w:u w:val="single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Příklad 1 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Rozhodněte, které z následujících posloupností jsou aritmetické, a které jsou geometrické. (Pozor, posloupnost může patřit také do obou skupin, anebo ani jedné skupiny.) 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left"/>
        <w:rPr>
          <w:sz w:val="20"/>
          <w:sz w:val="20"/>
          <w:szCs w:val="20"/>
          <w:rFonts w:ascii="Times New Roman" w:hAnsi="Times New Roman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19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…</m:t>
        </m:r>
      </m:oMath>
      <w:r/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left"/>
        <w:rPr>
          <w:sz w:val="20"/>
          <w:sz w:val="20"/>
          <w:szCs w:val="20"/>
          <w:rFonts w:ascii="Times New Roman" w:hAnsi="Times New Roman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9,</m:t>
        </m:r>
        <m:r>
          <w:rPr>
            <w:rFonts w:ascii="Cambria Math" w:hAnsi="Cambria Math"/>
          </w:rPr>
          <m:t xml:space="preserve">…</m:t>
        </m:r>
      </m:oMath>
      <w:r/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left"/>
        <w:rPr>
          <w:sz w:val="20"/>
          <w:sz w:val="20"/>
          <w:szCs w:val="20"/>
          <w:rFonts w:ascii="Times New Roman" w:hAnsi="Times New Roman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81</m:t>
            </m:r>
          </m:den>
        </m:f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12,</m:t>
        </m:r>
        <m:r>
          <w:rPr>
            <w:rFonts w:ascii="Cambria Math" w:hAnsi="Cambria Math"/>
          </w:rPr>
          <m:t xml:space="preserve">…</m:t>
        </m:r>
      </m:oMath>
      <w:r/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left"/>
        <w:rPr>
          <w:sz w:val="20"/>
          <w:sz w:val="20"/>
          <w:szCs w:val="20"/>
          <w:rFonts w:ascii="Times New Roman" w:hAnsi="Times New Roman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6,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6,</m:t>
        </m:r>
        <m:r>
          <w:rPr>
            <w:rFonts w:ascii="Cambria Math" w:hAnsi="Cambria Math"/>
          </w:rPr>
          <m:t xml:space="preserve">…</m:t>
        </m:r>
      </m:oMath>
      <w:r/>
    </w:p>
    <w:p>
      <w:pPr>
        <w:pStyle w:val="Normal"/>
        <w:spacing w:lineRule="auto" w:line="276" w:before="0" w:after="200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r>
      <w:r/>
    </w:p>
    <w:p>
      <w:pPr>
        <w:pStyle w:val="Normal"/>
        <w:spacing w:lineRule="auto" w:line="276" w:before="0" w:after="200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r>
      <w:r/>
    </w:p>
    <w:p>
      <w:pPr>
        <w:pStyle w:val="Normal"/>
        <w:spacing w:lineRule="auto" w:line="276" w:before="0" w:after="200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Aritmetické posloupnosti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Rekurentní zadání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Zadání vzorcem pro n-tý člen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Vyjádření r-tého členu z s-tého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Příklad 2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Zapište prvních šest členů aritmetické posloupnosti, pro kterou platí 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17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</w:r>
      <w:r/>
    </w:p>
    <w:p>
      <w:pPr>
        <w:pStyle w:val="Normal"/>
        <w:spacing w:lineRule="auto" w:line="276" w:before="0" w:after="200"/>
        <w:jc w:val="both"/>
        <w:rPr/>
      </w:pPr>
      <w:r>
        <w:rPr/>
      </w:r>
      <w:r/>
    </w:p>
    <w:p>
      <w:pPr>
        <w:pStyle w:val="Normal"/>
        <w:spacing w:lineRule="auto" w:line="276" w:before="0" w:after="200"/>
        <w:jc w:val="both"/>
        <w:rPr/>
      </w:pPr>
      <w:r>
        <w:rPr/>
      </w:r>
      <w:r/>
    </w:p>
    <w:p>
      <w:pPr>
        <w:pStyle w:val="Normal"/>
        <w:spacing w:lineRule="auto" w:line="276" w:before="0" w:after="200"/>
        <w:jc w:val="both"/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Příklad 3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Najděte první dva členy aritmetické posloupnosti, jestliže máte informace </w:t>
      </w:r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/>
    </w:p>
    <w:p>
      <w:pPr>
        <w:pStyle w:val="Normal"/>
        <w:spacing w:lineRule="auto" w:line="276" w:before="0" w:after="200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r>
      <w:r/>
    </w:p>
    <w:p>
      <w:pPr>
        <w:pStyle w:val="Normal"/>
        <w:spacing w:lineRule="auto" w:line="276" w:before="0" w:after="200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r>
      <w:r/>
    </w:p>
    <w:p>
      <w:pPr>
        <w:pStyle w:val="Normal"/>
        <w:spacing w:lineRule="auto" w:line="276" w:before="0" w:after="200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r>
      <w:r/>
    </w:p>
    <w:p>
      <w:pPr>
        <w:pStyle w:val="Normal"/>
        <w:spacing w:lineRule="auto" w:line="276" w:before="0" w:after="200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Geometrické posloupnosti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Rekurentní zadání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Zadání vzorcem pro n-tý člen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Vyjádření r-tého členu z s-tého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s</m:t>
            </m:r>
          </m:sub>
        </m:sSub>
      </m:oMath>
      <w:r/>
    </w:p>
    <w:p>
      <w:pPr>
        <w:pStyle w:val="Normal"/>
        <w:spacing w:lineRule="auto" w:line="276" w:before="0" w:after="200"/>
        <w:jc w:val="both"/>
        <w:rPr/>
      </w:pPr>
      <w:r>
        <w:rPr/>
      </w:r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Příklad 4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Zapište prvních šest členů geometrické posloupnosti, pro kterou platí 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64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125</m:t>
            </m:r>
          </m:den>
        </m:f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/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27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</w:r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Příklad 5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/>
    </w:p>
    <w:p>
      <w:pPr>
        <w:pStyle w:val="Normal"/>
        <w:spacing w:lineRule="auto" w:line="276" w:before="0" w:after="200"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Najděte první člen geometrické posloupnosti, jestliže máte informace </w:t>
      </w:r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0"/>
          <w:sz w:val="20"/>
          <w:szCs w:val="20"/>
          <w:rFonts w:ascii="Times New Roman" w:hAnsi="Times New Roman"/>
          <w:color w:val="000000" w:themeColor="text1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64</m:t>
        </m:r>
      </m:oMath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  <w:t xml:space="preserve">     </w:t>
      </w:r>
      <w:r>
        <w:rPr>
          <w:rFonts w:eastAsia="" w:ascii="Times New Roman" w:hAnsi="Times New Roman" w:eastAsiaTheme="minorEastAsia"/>
          <w:color w:val="000000" w:themeColor="text1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Times New Roma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43c78"/>
    <w:pPr>
      <w:spacing w:lineRule="auto" w:line="240" w:before="0" w:after="160"/>
      <w:ind w:left="720" w:hanging="0"/>
      <w:contextualSpacing/>
      <w:jc w:val="center"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LibreOffice/4.3.5.2$Windows_x86 LibreOffice_project/3a87456aaa6a95c63eea1c1b3201acedf0751bd5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2020-05-19T12:09:00Z</dcterms:created>
  <dc:creator>Jan Hoffmann</dc:creator>
  <dc:language>cs-CZ</dc:language>
  <dcterms:modified xsi:type="dcterms:W3CDTF">2020-05-22T21:09:56Z</dcterms:modified>
  <cp:revision>23</cp:revision>
</cp:coreProperties>
</file>