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Odvozování vzorců a rekurentní zápisy</w:t>
      </w:r>
      <w:r>
        <w:rPr>
          <w:rFonts w:eastAsia="NSimSun" w:cs="Liberation Mono" w:ascii="Times New Roman" w:hAnsi="Times New Roman"/>
          <w:b/>
          <w:bCs/>
          <w:sz w:val="32"/>
          <w:szCs w:val="32"/>
          <w:u w:val="single"/>
        </w:rPr>
        <w:t>, od 27. 5. 2020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18"/>
          <w:szCs w:val="20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Cílem tohoto listu je pomoci Vám s úlohami TechAmbition, které se zabývají posloupnostmi a třeba se k nim v rámci vylepšování klasifikace chcete vrátit, anebo je doplnit. 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18"/>
          <w:szCs w:val="20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minulém podpůrném list (Matematika_K2_PodpurnyListPosloupnostiKompletni.docx) jsem uváděl 6 posloupností, na jejichž zkoumání zde navážeme.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u w:val="single"/>
          <w:b/>
          <w:sz w:val="20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u w:val="single"/>
        </w:rPr>
        <w:t>Ukázka I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>Nejprve jsme měli posloupnost začínající čísly</w:t>
      </w:r>
      <w:r>
        <w:rPr>
          <w:lang w:val="cs-CZ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 té jsme zjistili, že není ani aritmetická ani geometrická. Účastníci čtvrteční videohodiny se potom dozvěděli další informace, které zde ještě jednou přepíši, byť bez obrázků.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Odvození rekurentního zápisu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Povšimneme si, že „skok“ mezi 1. a 2. členem je +3, mezi 2. a 3. členem je +5, mezi 3. a 4. členem je +7, atd. (+9, +11, +13, +15, +17, +19, +21, …)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Poté již můžeme uhodnout další členy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26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37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Nyní si celou myšlenku zvětšujících se skoků zapišme symbolicky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26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37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Rozdíl mezi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(n+1).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a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n.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členem je vždy dvojnásobkem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n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zvětšeným o 1, přičemž posloupnost začíná číslem 2. Můžeme shrnout do stručného rekurentního zápisu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Odvození zápisu vzorcem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Nalezneme vhodnou zákonitost pro již napočítané členy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Z těchto poznatků již můžeme formulovat vzorec pro n-tý člen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n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Celou posloupnost potom můžeme psát ve tvaru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Tento symbol chápeme tak, že bereme jednotlivá přirozená čísla až do nekonečna (postupně n = 1, n = 2, n = 3, n = 4, … , n =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>∞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), dosazujeme je do vzorce, a tak vytvoříme posloupnost.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Kdy je vzorec pro n-tý člen výhodnější?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Když se nás nepřítel zeptá na 20. člen posloupnosti, můžeme jej počítat rekurentně jako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39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Což je trochu pracné, anebo si alespoň vyžádá další vzorec.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S přímým vzorcem však stačí spočítat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20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18"/>
          <w:szCs w:val="20"/>
          <w:u w:val="singl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Ukázka II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Dále jsme měli posloupnost začínající čísly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 ní jsme zjistili, že je aritmetická, s pravidly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Rekurentní zápis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Poměrně snadno viditelný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Zápis vzorcem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Můžeme jej odvodit z obecného vzorce pro aritmetickou posloupnost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kde dosazujeme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Alternativně postupujeme tak, že si představíme „fiktivní nultý člen“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a potom uvažujeme, že 1. člen je „po 1 skoku“ (proto je o 3 větší na -8), 2. člen je „po 2 skocích“ (proto je o 6 větší na -5), 3. člen je „po 3 skocích“ (proto je o 9 větší na -2) atd.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Odtud získáme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(dva možné zápisy vzorcem pro n-tý člen).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Celá posloupnost se potom píše jako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nebo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Ukázka III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Následovala posloupnost začínající čísly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…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 ní jsme zjistili, že je geometrická, s pravidly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Rekurentní zápis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Poměrně snadno viditelný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Zápis vzorcem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Můžeme jej odvodit z obecného vzorce pro geometrickou posloupnost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kde dosazujeme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Při úpravách jsme využili vzorce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en-US"/>
        </w:rPr>
        <w:t>aplikovan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ého v podobě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Dále můžeme zjednodušit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liché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potom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sudé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sudé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en-US"/>
        </w:rPr>
        <w:t xml:space="preserve">potom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en-US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liché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  <w:lang w:val="en-US"/>
        </w:rPr>
        <w:t>Krom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  <w:lang w:val="cs-CZ"/>
        </w:rPr>
        <w:t>ě zápisu vzorcem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en-US"/>
        </w:rPr>
        <w:t>s celou poslopnost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í jako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∙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  <w:lang w:val="cs-CZ"/>
        </w:rPr>
        <w:t>máme také alternativní zápis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  <w:lang w:val="en-US"/>
        </w:rPr>
        <w:t xml:space="preserve">: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Je-li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  <w:lang w:val="cs-CZ"/>
        </w:rPr>
        <w:t>n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 liché, potom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. Je-li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  <w:lang w:val="en-US"/>
        </w:rPr>
        <w:t>n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 sudé, potom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u w:val="single"/>
        </w:rPr>
        <w:t>Ukázka IV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Další posloupnost začínala takto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</w:rPr>
        <w:t xml:space="preserve">, …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O ní jsme zjistili, že jde o konstantní posloupnost, kterou můžeme zařadit do obou sledovaných kategorií – aritmetických i geometrických posloupností.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Rekurentní zápis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18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Nemá zde valného smyslu, ale můžeme jej sestavit např. takto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Zápis vzorcem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Je v tomto případě velmi jednoduchý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</m:oMath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, celá posloupnost potom má podobu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45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20"/>
          <w:i w:val="false"/>
          <w:u w:val="none"/>
          <w:b w:val="false"/>
          <w:sz w:val="20"/>
          <w:i w:val="false"/>
          <w:b w:val="false"/>
          <w:szCs w:val="20"/>
          <w:iCs w:val="false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u w:val="single"/>
        </w:rPr>
        <w:t>Ukázka V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Předposlední posloupnost jsme minule odvodili v podobě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Aritmetická,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bookmarkStart w:id="0" w:name="__DdeLink__514_1439264049"/>
      <w:bookmarkEnd w:id="0"/>
      <w:r>
        <w:rPr>
          <w:rFonts w:ascii="Times New Roman" w:hAnsi="Times New Roman"/>
          <w:b/>
          <w:bCs/>
          <w:sz w:val="20"/>
          <w:szCs w:val="20"/>
          <w:u w:val="single"/>
        </w:rPr>
        <w:t>Rekurentní zápis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Opět je velmi snadný,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20"/>
          <w:u w:val="none"/>
          <w:b w:val="false"/>
          <w:sz w:val="20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Zápis vzorcem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Podobně jako v Ukázce II spočítáme „fiktivní nultý člen“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od něhož na každém dalším kroku odebíráme šestku (1. člen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2. člen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3.člen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atd.).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Tím dostáváme zápis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resp.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18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  <m:r>
          <w:rPr>
            <w:rFonts w:ascii="Cambria Math" w:hAnsi="Cambria Math"/>
          </w:rPr>
          <m:t xml:space="preserve">=</m:t>
        </m:r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6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bookmarkStart w:id="1" w:name="__DdeLink__514_14392640491"/>
      <w:bookmarkStart w:id="2" w:name="__DdeLink__514_14392640491"/>
      <w:bookmarkEnd w:id="2"/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u w:val="single"/>
        </w:rPr>
        <w:t>Ukázka VI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Poslední posloupnost z minula měla podobu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Geometrická,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63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Rekurentní zápis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Opět je velmi snadný,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63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20"/>
          <w:u w:val="none"/>
          <w:b w:val="false"/>
          <w:sz w:val="20"/>
          <w:b w:val="false"/>
          <w:szCs w:val="20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0"/>
          <w:szCs w:val="20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Zápis vzorcem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Podobně jako v Ukázce II a Ukázce V spočítáme „fiktivní nultý člen“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189</m:t>
        </m:r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který tentokrát dělíme mocninami trojky, tedy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63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 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atd.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en-US"/>
        </w:rPr>
        <w:t>Odtud ji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ž dostáváme zápis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189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, resp.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189</m:t>
                    </m:r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9008</TotalTime>
  <Application>LibreOffice/4.3.5.2$Windows_x86 LibreOffice_project/3a87456aaa6a95c63eea1c1b3201acedf0751bd5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2020-05-25T17:54:08Z</dcterms:modified>
  <cp:revision>27</cp:revision>
</cp:coreProperties>
</file>