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27. 5. - 2. 6.)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naučná videa o </w:t>
      </w:r>
      <w:r>
        <w:rPr>
          <w:rFonts w:ascii="Times New Roman" w:hAnsi="Times New Roman"/>
          <w:sz w:val="24"/>
          <w:szCs w:val="24"/>
        </w:rPr>
        <w:t xml:space="preserve">české přírodě.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Stálezelené rostliny a živočichové žijící v norách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https://edu.ceskatelevize.cz/stalezelene-rostliny-a-zivocichove-zijici-v-norach-5e4424494908cf012515801c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Luční rostliny a vřesoviště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https://edu.ceskatelevize.cz/lucni-rostliny-a-vresoviste-5e4424454908cf0125157ff9</w:t>
        </w:r>
      </w:hyperlink>
      <w:r>
        <w:rPr>
          <w:rFonts w:ascii="Times New Roman" w:hAnsi="Times New Roman"/>
        </w:rPr>
        <w:t xml:space="preserve"> 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Zimní příroda našich lesů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https://edu.ceskatelevize.cz/zimni-priroda-nasich-lesu-5e4424484908cf0125158014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Zima: Zimující hmyz a příroda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https://edu.ceskatelevize.cz/zima-zimujici-hmyz-a-priroda-5e4424494908cf0125158021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Ožívající příroda po zimě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</w:rPr>
          <w:t>https://edu.ceskatelevize.cz/ozivajici-priroda-po-zime-5e44244b4908cf0125158033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Odchyt ptáků a letní příroda </w:t>
      </w:r>
      <w:r/>
    </w:p>
    <w:p>
      <w:pPr>
        <w:pStyle w:val="Normal"/>
        <w:widowControl w:val="false"/>
      </w:pPr>
      <w:hyperlink r:id="rId7">
        <w:r>
          <w:rPr>
            <w:rStyle w:val="Internetovodkaz"/>
            <w:rFonts w:ascii="Times New Roman" w:hAnsi="Times New Roman"/>
          </w:rPr>
          <w:t>https://edu.ceskatelevize.cz/odchyt-ptaku-a-letni-priroda-5e44244c4908cf0125158037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Příroda pozdního léta: Kapři, jeleni a luční rostliny </w:t>
      </w:r>
      <w:r/>
    </w:p>
    <w:p>
      <w:pPr>
        <w:pStyle w:val="Normal"/>
        <w:widowControl w:val="false"/>
      </w:pPr>
      <w:hyperlink r:id="rId8">
        <w:r>
          <w:rPr>
            <w:rStyle w:val="Internetovodkaz"/>
            <w:rFonts w:ascii="Times New Roman" w:hAnsi="Times New Roman"/>
          </w:rPr>
          <w:t>https://edu.ceskatelevize.cz/priroda-pozdniho-leta-kapri-jeleni-a-lucni-rostliny-5e4424474908cf012515800f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fals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stalezelene-rostliny-a-zivocichove-zijici-v-norach-5e4424494908cf012515801c" TargetMode="External"/><Relationship Id="rId3" Type="http://schemas.openxmlformats.org/officeDocument/2006/relationships/hyperlink" Target="https://edu.ceskatelevize.cz/lucni-rostliny-a-vresoviste-5e4424454908cf0125157ff9" TargetMode="External"/><Relationship Id="rId4" Type="http://schemas.openxmlformats.org/officeDocument/2006/relationships/hyperlink" Target="https://edu.ceskatelevize.cz/zimni-priroda-nasich-lesu-5e4424484908cf0125158014" TargetMode="External"/><Relationship Id="rId5" Type="http://schemas.openxmlformats.org/officeDocument/2006/relationships/hyperlink" Target="https://edu.ceskatelevize.cz/zima-zimujici-hmyz-a-priroda-5e4424494908cf0125158021" TargetMode="External"/><Relationship Id="rId6" Type="http://schemas.openxmlformats.org/officeDocument/2006/relationships/hyperlink" Target="https://edu.ceskatelevize.cz/ozivajici-priroda-po-zime-5e44244b4908cf0125158033" TargetMode="External"/><Relationship Id="rId7" Type="http://schemas.openxmlformats.org/officeDocument/2006/relationships/hyperlink" Target="https://edu.ceskatelevize.cz/odchyt-ptaku-a-letni-priroda-5e44244c4908cf0125158037" TargetMode="External"/><Relationship Id="rId8" Type="http://schemas.openxmlformats.org/officeDocument/2006/relationships/hyperlink" Target="https://edu.ceskatelevize.cz/priroda-pozdniho-leta-kapri-jeleni-a-lucni-rostliny-5e4424474908cf012515800f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27447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2020-05-26T21:44:14Z</dcterms:modified>
  <cp:revision>53</cp:revision>
</cp:coreProperties>
</file>