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u w:val="single"/>
          <w:b/>
          <w:sz w:val="32"/>
          <w:b/>
          <w:szCs w:val="3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Středně obtížné úlohy s exponenty (dobrovolný úkol s návodem)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V TechAmbition jste narazili na obtížný, ale podle ohlasů zajímavý úkol s názvem Exponenciální zápis čísla.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Cílem tohoto listu je vyzkoušet si přijatelnější úlohy na procvičení souvisejících početních principů a zájemcům doplnit/vylepšit klasifikaci.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Obsahuje dvě úlohy k samostatnému vypracování a dvě řešené úlohy k inspiraci.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u w:val="single"/>
          <w:b/>
          <w:sz w:val="24"/>
          <w:b/>
          <w:szCs w:val="24"/>
          <w:rFonts w:ascii="Times New Roman" w:hAnsi="Times New Roman" w:cs="Times New Roman"/>
          <w:lang w:eastAsia="cs-CZ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eastAsia="cs-CZ"/>
        </w:rPr>
        <w:t xml:space="preserve">Úlohy k samostatnému vypracování </w:t>
      </w:r>
      <w:r/>
    </w:p>
    <w:p>
      <w:pPr>
        <w:pStyle w:val="Normal"/>
        <w:rPr>
          <w:sz w:val="24"/>
          <w:u w:val="single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eastAsia="cs-CZ"/>
        </w:rPr>
        <w:t>Úloha I</w:t>
      </w:r>
      <w:r/>
    </w:p>
    <w:p>
      <w:pPr>
        <w:pStyle w:val="Normal"/>
      </w:pPr>
      <w:r>
        <w:rPr/>
        <w:drawing>
          <wp:inline distT="0" distB="0" distL="0" distR="0">
            <wp:extent cx="5760720" cy="108458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u w:val="single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Úloha II </w:t>
      </w:r>
      <w:r/>
    </w:p>
    <w:p>
      <w:pPr>
        <w:pStyle w:val="Normal"/>
      </w:pPr>
      <w:r>
        <w:rPr/>
        <w:drawing>
          <wp:inline distT="0" distB="0" distL="0" distR="0">
            <wp:extent cx="5760720" cy="1071880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u w:val="single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Řešené úlohy ze státních maturit </w:t>
      </w:r>
      <w:r/>
    </w:p>
    <w:p>
      <w:pPr>
        <w:pStyle w:val="Normal"/>
        <w:rPr>
          <w:sz w:val="24"/>
          <w:u w:val="single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Úloha A </w:t>
      </w:r>
      <w:r/>
    </w:p>
    <w:p>
      <w:pPr>
        <w:pStyle w:val="Normal"/>
        <w:rPr>
          <w:sz w:val="24"/>
          <w:u w:val="single"/>
          <w:b/>
          <w:sz w:val="24"/>
          <w:b/>
          <w:szCs w:val="24"/>
          <w:rFonts w:ascii="Times New Roman" w:hAnsi="Times New Roman" w:cs="Times New Roman"/>
        </w:rPr>
      </w:pPr>
      <w:r>
        <w:rPr/>
        <w:drawing>
          <wp:inline distT="0" distB="0" distL="0" distR="0">
            <wp:extent cx="5760720" cy="1155700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rPr>
          <w:sz w:val="24"/>
          <w:u w:val="single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" w:cs="Times New Roman" w:eastAsiaTheme="minorEastAsia"/>
        </w:rPr>
      </w:pPr>
      <w:r>
        <w:rPr>
          <w:rFonts w:cs="Times New Roman" w:ascii="Times New Roman" w:hAnsi="Times New Roman"/>
          <w:sz w:val="24"/>
          <w:szCs w:val="24"/>
        </w:rPr>
        <w:t xml:space="preserve">Čitatel zpracujeme podle vzorce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r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 xml:space="preserve">s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s</m:t>
            </m:r>
          </m:sup>
        </m:sSup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jako </w:t>
      </w:r>
      <w:r>
        <w:rPr>
          <w:rFonts w:eastAsia="" w:cs="Times New Roman" w:ascii="Times New Roman" w:hAnsi="Times New Roman" w:eastAsiaTheme="minorEastAsia"/>
          <w:sz w:val="24"/>
          <w:szCs w:val="24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 xml:space="preserve">100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100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300</m:t>
            </m:r>
          </m:sup>
        </m:sSup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Odmocninu ve jmenovateli zpracujeme podle vzorce </w:t>
      </w:r>
      <w:r>
        <w:rPr>
          <w:rFonts w:eastAsia="" w:cs="Times New Roman" w:ascii="Times New Roman" w:hAnsi="Times New Roman" w:eastAsiaTheme="minorEastAsia"/>
          <w:sz w:val="24"/>
          <w:szCs w:val="24"/>
        </w:rPr>
      </w:r>
      <m:oMath xmlns:m="http://schemas.openxmlformats.org/officeDocument/2006/math">
        <m:rad>
          <m:deg>
            <m:r>
              <w:rPr>
                <w:rFonts w:ascii="Cambria Math" w:hAnsi="Cambria Math"/>
              </w:rPr>
              <m:t xml:space="preserve">s</m:t>
            </m:r>
          </m:deg>
          <m:e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r</m:t>
                </m:r>
              </m:sup>
            </m:sSup>
          </m:e>
        </m:ra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r</m:t>
                </m:r>
              </m:num>
              <m:den>
                <m:r>
                  <w:rPr>
                    <w:rFonts w:ascii="Cambria Math" w:hAnsi="Cambria Math"/>
                  </w:rPr>
                  <m:t xml:space="preserve">s</m:t>
                </m:r>
              </m:den>
            </m:f>
          </m:sup>
        </m:sSup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jako </w:t>
      </w:r>
      <w:r>
        <w:rPr>
          <w:rFonts w:eastAsia="" w:cs="Times New Roman" w:ascii="Times New Roman" w:hAnsi="Times New Roman" w:eastAsiaTheme="minorEastAsia"/>
          <w:sz w:val="24"/>
          <w:szCs w:val="24"/>
        </w:rPr>
      </w:r>
      <m:oMath xmlns:m="http://schemas.openxmlformats.org/officeDocument/2006/math">
        <m:rad>
          <m:radPr>
            <m:degHide m:val="1"/>
          </m:radPr>
          <m:deg/>
          <m:e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100</m:t>
                </m:r>
              </m:sup>
            </m:sSup>
          </m:e>
        </m:rad>
        <m:r>
          <w:rPr>
            <w:rFonts w:ascii="Cambria Math" w:hAnsi="Cambria Math"/>
          </w:rPr>
          <m:t xml:space="preserve">=</m:t>
        </m:r>
        <m:rad>
          <m:deg>
            <m:r>
              <w:rPr>
                <w:rFonts w:ascii="Cambria Math" w:hAnsi="Cambria Math"/>
              </w:rPr>
              <m:t xml:space="preserve">2</m:t>
            </m:r>
          </m:deg>
          <m:e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100</m:t>
                </m:r>
              </m:sup>
            </m:sSup>
          </m:e>
        </m:ra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100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50</m:t>
            </m:r>
          </m:sup>
        </m:sSup>
      </m:oMath>
      <w:r/>
    </w:p>
    <w:p>
      <w:pPr>
        <w:pStyle w:val="Normal"/>
        <w:rPr>
          <w:sz w:val="24"/>
          <w:sz w:val="24"/>
          <w:szCs w:val="24"/>
          <w:rFonts w:ascii="Times New Roman" w:hAnsi="Times New Roman" w:eastAsia="" w:cs="Times New Roman" w:eastAsiaTheme="minorEastAsia"/>
        </w:rPr>
      </w:pPr>
      <w:r>
        <w:rPr/>
      </w:r>
      <m:oMath xmlns:m="http://schemas.openxmlformats.org/officeDocument/2006/math">
        <m:f>
          <m:num>
            <m:sSup>
              <m:e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100</m:t>
                </m:r>
              </m:sup>
            </m:sSup>
          </m:num>
          <m:den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100</m:t>
                </m:r>
              </m:sup>
            </m:sSup>
            <m:r>
              <w:rPr>
                <w:rFonts w:ascii="Cambria Math" w:hAnsi="Cambria Math"/>
              </w:rPr>
              <m:t xml:space="preserve">∙</m:t>
            </m:r>
            <m:rad>
              <m:deg>
                <m:r>
                  <w:rPr>
                    <w:rFonts w:ascii="Cambria Math" w:hAnsi="Cambria Math"/>
                  </w:rPr>
                  <m:t xml:space="preserve">2</m:t>
                </m:r>
              </m:deg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100</m:t>
                    </m:r>
                  </m:sup>
                </m:sSup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300</m:t>
                </m:r>
              </m:sup>
            </m:sSup>
          </m:num>
          <m:den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100</m:t>
                </m:r>
              </m:sup>
            </m:sSup>
            <m:r>
              <w:rPr>
                <w:rFonts w:ascii="Cambria Math" w:hAnsi="Cambria Math"/>
              </w:rPr>
              <m:t xml:space="preserve">∙</m:t>
            </m:r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50</m:t>
                </m:r>
              </m:sup>
            </m:sSup>
          </m:den>
        </m:f>
      </m:oMath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Podle vzorce </w:t>
      </w:r>
      <w:r>
        <w:rPr>
          <w:rFonts w:eastAsia="" w:cs="Times New Roman" w:ascii="Times New Roman" w:hAnsi="Times New Roman" w:eastAsiaTheme="minorEastAsia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r</m:t>
            </m:r>
          </m:sup>
        </m:sSup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s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s</m:t>
            </m:r>
          </m:sup>
        </m:sSup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upravíme jmenovatel </w:t>
      </w:r>
      <w:r>
        <w:rPr>
          <w:rFonts w:eastAsia="" w:cs="Times New Roman" w:ascii="Times New Roman" w:hAnsi="Times New Roman" w:eastAsiaTheme="minorEastAsia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100</m:t>
            </m:r>
          </m:sup>
        </m:sSup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50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100</m:t>
            </m:r>
            <m:r>
              <w:rPr>
                <w:rFonts w:ascii="Cambria Math" w:hAnsi="Cambria Math"/>
              </w:rPr>
              <m:t xml:space="preserve">+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50</m:t>
                </m:r>
              </m:e>
            </m:d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50</m:t>
            </m:r>
          </m:sup>
        </m:sSup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. </w:t>
      </w:r>
      <w:r/>
    </w:p>
    <w:p>
      <w:pPr>
        <w:pStyle w:val="Normal"/>
        <w:rPr>
          <w:sz w:val="24"/>
          <w:u w:val="single"/>
          <w:sz w:val="24"/>
          <w:szCs w:val="24"/>
          <w:rFonts w:ascii="Times New Roman" w:hAnsi="Times New Roman" w:cs="Times New Roman"/>
        </w:rPr>
      </w:pPr>
      <w:r>
        <w:rPr/>
      </w:r>
      <m:oMath xmlns:m="http://schemas.openxmlformats.org/officeDocument/2006/math">
        <m:f>
          <m:num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300</m:t>
                </m:r>
              </m:sup>
            </m:sSup>
          </m:num>
          <m:den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100</m:t>
                </m:r>
              </m:sup>
            </m:sSup>
            <m:r>
              <w:rPr>
                <w:rFonts w:ascii="Cambria Math" w:hAnsi="Cambria Math"/>
              </w:rPr>
              <m:t xml:space="preserve">∙</m:t>
            </m:r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50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300</m:t>
                </m:r>
              </m:sup>
            </m:sSup>
          </m:num>
          <m:den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50</m:t>
                </m:r>
              </m:sup>
            </m:sSup>
          </m:den>
        </m:f>
      </m:oMath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Nakonec získáme výsledek podle vzorce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f>
          <m:num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r</m:t>
                </m:r>
              </m:sup>
            </m:sSup>
          </m:num>
          <m:den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s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s</m:t>
            </m:r>
          </m:sup>
        </m:sSup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: </w:t>
      </w:r>
      <w:r/>
    </w:p>
    <w:p>
      <w:pPr>
        <w:pStyle w:val="Normal"/>
        <w:rPr>
          <w:sz w:val="24"/>
          <w:u w:val="single"/>
          <w:sz w:val="24"/>
          <w:szCs w:val="24"/>
          <w:rFonts w:ascii="Times New Roman" w:hAnsi="Times New Roman" w:cs="Times New Roman"/>
        </w:rPr>
      </w:pPr>
      <w:r>
        <w:rPr/>
      </w:r>
      <m:oMath xmlns:m="http://schemas.openxmlformats.org/officeDocument/2006/math">
        <m:f>
          <m:num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300</m:t>
                </m:r>
              </m:sup>
            </m:sSup>
          </m:num>
          <m:den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50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300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50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250</m:t>
            </m:r>
          </m:sup>
        </m:sSup>
      </m:oMath>
      <w:r/>
    </w:p>
    <w:p>
      <w:pPr>
        <w:pStyle w:val="Normal"/>
        <w:rPr>
          <w:sz w:val="24"/>
          <w:u w:val="single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  <w:r/>
    </w:p>
    <w:p>
      <w:pPr>
        <w:pStyle w:val="Normal"/>
        <w:rPr>
          <w:sz w:val="24"/>
          <w:u w:val="single"/>
          <w:b/>
          <w:sz w:val="24"/>
          <w:b/>
          <w:szCs w:val="24"/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u w:val="single"/>
        </w:rPr>
        <w:t>Úloha B</w:t>
      </w:r>
      <w:r/>
    </w:p>
    <w:p>
      <w:pPr>
        <w:pStyle w:val="Normal"/>
        <w:rPr>
          <w:sz w:val="24"/>
          <w:u w:val="single"/>
          <w:b/>
          <w:sz w:val="24"/>
          <w:b/>
          <w:szCs w:val="24"/>
          <w:rFonts w:ascii="Times New Roman" w:hAnsi="Times New Roman" w:cs="Times New Roman"/>
        </w:rPr>
      </w:pPr>
      <w:r>
        <w:rPr/>
        <w:drawing>
          <wp:inline distT="0" distB="0" distL="0" distR="0">
            <wp:extent cx="5760720" cy="2023110"/>
            <wp:effectExtent l="0" t="0" r="0" b="0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eastAsia="" w:cs="Times New Roman" w:eastAsiaTheme="minorEastAsia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</w:rPr>
        <w:t xml:space="preserve">4.1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" w:cs="Times New Roman" w:eastAsiaTheme="minorEastAsia"/>
        </w:rPr>
      </w:pP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Nejprve upravíme na tvar s kladnými mocninami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" w:cs="Times New Roman" w:eastAsiaTheme="minorEastAsia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</m:num>
          <m:den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0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a</m:t>
                </m:r>
              </m:den>
            </m:f>
          </m:num>
          <m:den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/>
    </w:p>
    <w:p>
      <w:pPr>
        <w:pStyle w:val="Normal"/>
        <w:rPr>
          <w:sz w:val="24"/>
          <w:sz w:val="24"/>
          <w:szCs w:val="24"/>
          <w:rFonts w:ascii="Times New Roman" w:hAnsi="Times New Roman" w:eastAsia="" w:cs="Times New Roman" w:eastAsiaTheme="minorEastAsia"/>
        </w:rPr>
      </w:pP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Platí totiž </w:t>
      </w:r>
      <w:r>
        <w:rPr>
          <w:rFonts w:eastAsia="" w:cs="Times New Roman" w:ascii="Times New Roman" w:hAnsi="Times New Roman" w:eastAsiaTheme="minorEastAsia"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r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r</m:t>
            </m:r>
          </m:sup>
        </m:sSup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, takže </w:t>
      </w:r>
      <w:r>
        <w:rPr>
          <w:rFonts w:eastAsia="" w:cs="Times New Roman" w:ascii="Times New Roman" w:hAnsi="Times New Roman" w:eastAsiaTheme="minorEastAsia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a</m:t>
            </m:r>
          </m:den>
        </m:f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" w:cs="Times New Roman" w:eastAsiaTheme="minorEastAsia"/>
        </w:rPr>
      </w:pP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Využili jsme také toho, že </w:t>
      </w:r>
      <w:r>
        <w:rPr>
          <w:rFonts w:eastAsia="" w:cs="Times New Roman" w:ascii="Times New Roman" w:hAnsi="Times New Roman" w:eastAsiaTheme="minorEastAsia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pro jakékoliv reálné </w:t>
      </w:r>
      <w:r>
        <w:rPr>
          <w:rFonts w:eastAsia="" w:cs="Times New Roman" w:ascii="Times New Roman" w:hAnsi="Times New Roman" w:eastAsiaTheme="minorEastAsia"/>
          <w:i/>
          <w:sz w:val="24"/>
          <w:szCs w:val="24"/>
        </w:rPr>
        <w:t>a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(s možným sporem o definici </w:t>
      </w:r>
      <w:r>
        <w:rPr>
          <w:rFonts w:eastAsia="" w:cs="Times New Roman" w:ascii="Times New Roman" w:hAnsi="Times New Roman" w:eastAsiaTheme="minorEastAsia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0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, jenže </w:t>
      </w:r>
      <w:r>
        <w:rPr>
          <w:rFonts w:eastAsia="" w:cs="Times New Roman" w:ascii="Times New Roman" w:hAnsi="Times New Roman" w:eastAsiaTheme="minorEastAsia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0</m:t>
        </m:r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kvůli zlomku </w:t>
      </w:r>
      <w:r>
        <w:rPr>
          <w:rFonts w:eastAsia="" w:cs="Times New Roman" w:ascii="Times New Roman" w:hAnsi="Times New Roman" w:eastAsiaTheme="minorEastAsia"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a</m:t>
            </m:r>
          </m:den>
        </m:f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v čitateli, kde také nesmíme provádět – ani dílčí – dělení číslem 0).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" w:cs="Times New Roman" w:eastAsiaTheme="minorEastAsia"/>
        </w:rPr>
      </w:pP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Nyní přichází na řadu v čitateli tvorba společného jmenovatele </w:t>
      </w:r>
      <w:r/>
    </w:p>
    <w:p>
      <w:pPr>
        <w:pStyle w:val="Normal"/>
        <w:rPr>
          <w:sz w:val="24"/>
          <w:u w:val="single"/>
          <w:sz w:val="24"/>
          <w:szCs w:val="24"/>
          <w:rFonts w:ascii="Times New Roman" w:hAnsi="Times New Roman" w:cs="Times New Roman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a</m:t>
            </m:r>
          </m:den>
        </m:f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a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a</m:t>
            </m:r>
          </m:den>
        </m:f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a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a</m:t>
            </m:r>
          </m:den>
        </m:f>
      </m:oMath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Jmenovatel si upravíme takto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, což je vysvětleno v některém ze starších podpůrných listů i poslední videohodině.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a</m:t>
                </m:r>
              </m:den>
            </m:f>
          </m:num>
          <m:den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f>
          <m:num>
            <m:f>
              <m:num>
                <m:sSup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a</m:t>
                </m:r>
              </m:den>
            </m:f>
          </m:num>
          <m:den>
            <m:r>
              <w:rPr>
                <w:rFonts w:ascii="Cambria Math" w:hAnsi="Cambria Math"/>
              </w:rPr>
              <m:t xml:space="preserve">−</m:t>
            </m:r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f>
              <m:num>
                <m:sSup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a</m:t>
                </m:r>
              </m:den>
            </m:f>
          </m:num>
          <m:den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den>
        </m:f>
      </m:oMath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Potom již dokončíme za pomoci pravidla „dělení zlomku zlomkem je násobení zlomkem převráceným“.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−</m:t>
            </m:r>
            <m:f>
              <m:num>
                <m:sSup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a</m:t>
                </m:r>
              </m:den>
            </m:f>
          </m:num>
          <m:den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a</m:t>
            </m:r>
          </m:den>
        </m:f>
        <m:r>
          <w:rPr>
            <w:rFonts w:ascii="Cambria Math" w:hAnsi="Cambria Math"/>
          </w:rPr>
          <m:t xml:space="preserve">∙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a</m:t>
            </m:r>
          </m:den>
        </m:f>
      </m:oMath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4.2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Nikdy nesmíme dělit 0, jediné místo, kde ve složených zlomcích tolerujeme nulové hodnoty, jsou „čitately čitatelů“.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Sledujeme postupné úpravy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Kvůli zlomku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a</m:t>
            </m:r>
          </m:den>
        </m:f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v čitateli (proměnná je zde v podstatě „jmenovatelem čitatele“) je podmínka </w:t>
      </w:r>
      <w:r>
        <w:rPr>
          <w:rFonts w:eastAsia="" w:cs="Times New Roman" w:ascii="Times New Roman" w:hAnsi="Times New Roman" w:eastAsiaTheme="minorEastAsia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0</m:t>
        </m:r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Kvůli dvojčlenu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ve jmenovateli musí platit </w:t>
      </w:r>
      <w:r>
        <w:rPr>
          <w:rFonts w:eastAsia="" w:cs="Times New Roman" w:ascii="Times New Roman" w:hAnsi="Times New Roman" w:eastAsiaTheme="minorEastAsia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0</m:t>
        </m:r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, tedy </w:t>
      </w:r>
      <w:r>
        <w:rPr>
          <w:rFonts w:eastAsia="" w:cs="Times New Roman" w:ascii="Times New Roman" w:hAnsi="Times New Roman" w:eastAsiaTheme="minorEastAsia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≠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, což znamená </w:t>
      </w:r>
      <w:r>
        <w:rPr>
          <w:rFonts w:eastAsia="" w:cs="Times New Roman" w:ascii="Times New Roman" w:hAnsi="Times New Roman" w:eastAsiaTheme="minorEastAsia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±</m:t>
        </m:r>
        <m:r>
          <w:rPr>
            <w:rFonts w:ascii="Cambria Math" w:hAnsi="Cambria Math"/>
          </w:rPr>
          <m:t xml:space="preserve">1</m:t>
        </m:r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Odpověď zapisujeme ve tvaru tří podmínek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" w:cs="Times New Roman" w:eastAsiaTheme="minorEastAsia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1,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0,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1</m:t>
        </m:r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,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resp. jako definiční obor výrazu </w:t>
      </w:r>
      <w:r>
        <w:rPr>
          <w:rFonts w:eastAsia="" w:cs="Times New Roman" w:ascii="Times New Roman" w:hAnsi="Times New Roman" w:eastAsiaTheme="minorEastAsia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−</m:t>
        </m:r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1,</m:t>
            </m:r>
            <m:r>
              <w:rPr>
                <w:rFonts w:ascii="Cambria Math" w:hAnsi="Cambria Math"/>
              </w:rPr>
              <m:t xml:space="preserve">0,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. </w:t>
      </w:r>
      <w:r/>
    </w:p>
    <w:p>
      <w:pPr>
        <w:pStyle w:val="Normal"/>
        <w:rPr>
          <w:sz w:val="24"/>
          <w:u w:val="single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laceholderText">
    <w:name w:val="Placeholder Text"/>
    <w:basedOn w:val="DefaultParagraphFont"/>
    <w:uiPriority w:val="99"/>
    <w:semiHidden/>
    <w:rsid w:val="006924e5"/>
    <w:rPr>
      <w:color w:val="808080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LibreOffice/4.3.5.2$Windows_x86 LibreOffice_project/3a87456aaa6a95c63eea1c1b3201acedf0751bd5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2020-06-02T10:08:00Z</dcterms:created>
  <dc:creator>Jan Hoffmann</dc:creator>
  <dc:language>cs-CZ</dc:language>
  <dcterms:modified xsi:type="dcterms:W3CDTF">2020-06-03T23:05:36Z</dcterms:modified>
  <cp:revision>25</cp:revision>
</cp:coreProperties>
</file>