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list k závěrečnému úkolu K2/MAT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sz w:val="24"/>
          <w:szCs w:val="24"/>
          <w:u w:val="single"/>
        </w:rPr>
        <w:t>Vzorové řešení k úloze 1 (Rozeznávání posloupností + další úvahy)</w:t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 následujících tabulkách máte první 4 členy nekonečné posloupnosti.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Najděte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 pravidlo pro získání dalších členů a doplňte 5., 6., 7. a 8. člen.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Ke každé posloupnosti napište, zda je jedná o aritmetickou nebo geometrickou posloupnost a uveďte její diferenci nebo kvocient.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V případě aritmetické posloupnosti najděte součet prvních 20 členů.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(Bonusově můžete tentýž součet najít i pro geometrické posloupnosti.)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(Bonusově můžete též najít přímé vyjádření posloupností vzorcem pro n-tý člen.)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0" w:themeColor="text1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a)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4"/>
        <w:gridCol w:w="1148"/>
        <w:gridCol w:w="1148"/>
        <w:gridCol w:w="1154"/>
        <w:gridCol w:w="1149"/>
        <w:gridCol w:w="1149"/>
        <w:gridCol w:w="1167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22</w:t>
            </w:r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19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16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13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left"/>
        <w:rPr>
          <w:sz w:val="24"/>
          <w:sz w:val="24"/>
          <w:szCs w:val="24"/>
          <w:rFonts w:ascii="Times New Roman" w:hAnsi="Times New Roman" w:eastAsia="" w:cs="Times New Roman" w:eastAsiaTheme="minorEastAsia"/>
          <w:color w:val="000000" w:themeColor="text1"/>
          <w:lang w:val="cs-CZ" w:eastAsia="zh-CN" w:bidi="hi-IN"/>
        </w:rPr>
      </w:pPr>
      <w:r>
        <w:rPr>
          <w:rFonts w:eastAsia="" w:cs="Times New Roman" w:eastAsiaTheme="minorEastAsia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b) 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4"/>
        <w:gridCol w:w="1148"/>
        <w:gridCol w:w="1148"/>
        <w:gridCol w:w="1154"/>
        <w:gridCol w:w="1149"/>
        <w:gridCol w:w="1149"/>
        <w:gridCol w:w="1167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-16</w:t>
            </w:r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8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-4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2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c) 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4"/>
        <w:gridCol w:w="1148"/>
        <w:gridCol w:w="1148"/>
        <w:gridCol w:w="1154"/>
        <w:gridCol w:w="1149"/>
        <w:gridCol w:w="1149"/>
        <w:gridCol w:w="1167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8</m:t>
                  </m:r>
                </m:den>
              </m:f>
            </m:oMath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3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d)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Posloupnost </w:t>
      </w:r>
      <w:r/>
    </w:p>
    <w:tbl>
      <w:tblPr>
        <w:tblStyle w:val="Mkatabulky"/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44"/>
        <w:gridCol w:w="1148"/>
        <w:gridCol w:w="1148"/>
        <w:gridCol w:w="1154"/>
        <w:gridCol w:w="1149"/>
        <w:gridCol w:w="1149"/>
        <w:gridCol w:w="1167"/>
      </w:tblGrid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</m:t>
                  </m:r>
                </m:sub>
              </m:sSub>
            </m:oMath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3</m:t>
                  </m:r>
                </m:sub>
              </m:sSub>
            </m:oMath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4</m:t>
                  </m:r>
                </m:sub>
              </m:sSub>
            </m:oMath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5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6</m:t>
                  </m:r>
                </m:sub>
              </m:sSub>
            </m:oMath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7</m:t>
                  </m:r>
                </m:sub>
              </m:sSub>
            </m:oMath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a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8</m:t>
                  </m:r>
                </m:sub>
              </m:sSub>
            </m:oMath>
            <w:r/>
          </w:p>
        </w:tc>
      </w:tr>
      <w:tr>
        <w:trPr/>
        <w:tc>
          <w:tcPr>
            <w:tcW w:w="1151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-55</w:t>
            </w:r>
            <w:r/>
          </w:p>
        </w:tc>
        <w:tc>
          <w:tcPr>
            <w:tcW w:w="114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-50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-45</w:t>
            </w:r>
            <w:r/>
          </w:p>
        </w:tc>
        <w:tc>
          <w:tcPr>
            <w:tcW w:w="1148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-40</w:t>
            </w:r>
            <w:r/>
          </w:p>
        </w:tc>
        <w:tc>
          <w:tcPr>
            <w:tcW w:w="1154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49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  <w:tc>
          <w:tcPr>
            <w:tcW w:w="1167" w:type="dxa"/>
            <w:tcBorders/>
            <w:shd w:fill="auto" w:val="clear"/>
          </w:tcPr>
          <w:p>
            <w:pPr>
              <w:pStyle w:val="Normal"/>
              <w:spacing w:before="0" w:after="0"/>
              <w:jc w:val="left"/>
              <w:rPr>
                <w:sz w:val="24"/>
                <w:sz w:val="24"/>
                <w:szCs w:val="24"/>
                <w:rFonts w:ascii="Times New Roman" w:hAnsi="Times New Roman" w:eastAsia="SimSun" w:cs="Times New Roman"/>
                <w:color w:val="000000" w:themeColor="text1"/>
                <w:lang w:val="cs-CZ" w:eastAsia="zh-CN" w:bidi="hi-IN"/>
              </w:rPr>
            </w:pPr>
            <w:r>
              <w:rPr>
                <w:rFonts w:eastAsia="SimSun" w:cs="Times New Roman" w:ascii="Times New Roman" w:hAnsi="Times New Roman"/>
                <w:color w:val="000000" w:themeColor="text1"/>
                <w:sz w:val="24"/>
                <w:szCs w:val="24"/>
                <w:lang w:val="cs-CZ" w:eastAsia="zh-CN" w:bidi="hi-IN"/>
              </w:rPr>
            </w:r>
            <w:r/>
          </w:p>
        </w:tc>
      </w:tr>
    </w:tbl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zh-CN" w:bidi="hi-IN"/>
        </w:rPr>
        <w:t xml:space="preserve">Posloupnost a)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Zde vypozorujeme, že při přechodu na další člen vždy poklesneme o 4. Z toho vyplývají možné zápisy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Aritmetická posloupnost s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Rekurentní zápis: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Zápis vzorcem: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n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resp.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25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n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Další členy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7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Součet prvních 20 členů aritmetické posloupnosti - podle vzorce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d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 dosazení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máme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20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20</m:t>
                </m:r>
              </m:sub>
            </m:sSub>
          </m:e>
        </m:d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kde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podle vzorce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dopočítáme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22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19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57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takže vyjde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22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13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130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u w:val="single"/>
          <w:b/>
          <w:sz w:val="24"/>
          <w:b/>
          <w:szCs w:val="24"/>
          <w:bCs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zh-CN" w:bidi="hi-IN"/>
        </w:rPr>
        <w:t>Posloupnost b)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Zde vypozorujeme, že při přechodu na další člen vždy zmenšíme 2x a ještě otočíme znaménko. Jinak řečeno, provádíme násobení číslem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.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Z toho vypl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ývají možné zápisy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Geometrická posloupnost s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Rekurentní zápis: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Zápis vzorcem: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32</m:t>
        </m:r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nebo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∙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resp.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32</m:t>
                </m:r>
                <m:r>
                  <w:rPr>
                    <w:rFonts w:ascii="Cambria Math" w:hAnsi="Cambria Math"/>
                  </w:rPr>
                  <m:t xml:space="preserve">∙</m:t>
                </m:r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f>
                          <m:num>
                            <m:r>
                              <w:rPr>
                                <w:rFonts w:ascii="Cambria Math" w:hAnsi="Cambria Math"/>
                              </w:rPr>
                              <m:t xml:space="preserve"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nebo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∙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5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Další členy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4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Součet prvních 20 členů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geometrick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é posloupnosti - podle vzorce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f>
          <m:num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 dosazení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máme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  <m:f>
          <m:num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den>
            </m:f>
          </m:e>
        </m:d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kde vid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íme, že jde o nejjednodušší způsob zápisu.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zh-CN" w:bidi="hi-IN"/>
        </w:rPr>
        <w:t>Posloupnost c)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Zde vypozorujeme, že při přechodu na další člen vždy zmenšíme 2x a ještě otočíme znaménko. Jinak řečeno, provádíme násobení číslem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.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Z toho vypl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ývají možné zápisy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Geometrická posloupnost s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Rekurentní zápis: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8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Zápis vzorcem: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16</m:t>
            </m:r>
          </m:den>
        </m:f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nebo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∙</m:t>
        </m:r>
        <m:sSup>
          <m:e>
            <m:r>
              <w:rPr>
                <w:rFonts w:ascii="Cambria Math" w:hAnsi="Cambria Math"/>
              </w:rPr>
              <m:t xml:space="preserve">2</m:t>
            </m:r>
          </m:e>
          <m:sup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sup>
        </m:s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resp.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16</m:t>
                    </m:r>
                  </m:den>
                </m:f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nebo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∙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n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Další členy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24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48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Součet prvních 20 členů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geometrick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é posloupnosti - podle vzorce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f>
          <m:num>
            <m:sSup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q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 dosazení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máme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  <m:f>
          <m:num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 xml:space="preserve">−</m:t>
            </m:r>
            <m:f>
              <m:num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den>
            </m:f>
          </m:num>
          <m:den>
            <m:r>
              <w:rPr>
                <w:rFonts w:ascii="Cambria Math" w:hAnsi="Cambria Math"/>
              </w:rPr>
              <m:t xml:space="preserve">−</m:t>
            </m:r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den>
        </m:f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  <m:r>
                  <w:rPr>
                    <w:rFonts w:ascii="Cambria Math" w:hAnsi="Cambria Math"/>
                  </w:rPr>
                  <m:t xml:space="preserve">−</m:t>
                </m:r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num>
              <m:den>
                <m:sSup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20</m:t>
                    </m:r>
                  </m:sup>
                </m:sSup>
              </m:den>
            </m:f>
          </m:e>
        </m:d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kde vid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íme, že jde o nejjednodušší způsob zápisu.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zh-CN" w:bidi="hi-IN"/>
        </w:rPr>
        <w:t xml:space="preserve">Posloupnost </w:t>
      </w:r>
      <w:r>
        <w:rPr>
          <w:rFonts w:eastAsia="SimSu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en-US" w:eastAsia="zh-CN" w:bidi="hi-IN"/>
        </w:rPr>
        <w:t>d</w:t>
      </w:r>
      <w:r>
        <w:rPr>
          <w:rFonts w:eastAsia="SimSun" w:cs="Times New Roman" w:ascii="Times New Roman" w:hAnsi="Times New Roman"/>
          <w:b/>
          <w:bCs/>
          <w:color w:val="000000" w:themeColor="text1"/>
          <w:sz w:val="24"/>
          <w:szCs w:val="24"/>
          <w:u w:val="single"/>
          <w:lang w:val="cs-CZ" w:eastAsia="zh-CN" w:bidi="hi-IN"/>
        </w:rPr>
        <w:t>)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Zde vypozorujeme, že při přechodu na další člen vždy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vzrosteme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o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5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Z toho vyplývají možné zápisy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Aritmetická posloupnost s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a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Rekurentní zápis: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Zápis vzorcem: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resp.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5</m:t>
                </m:r>
                <m:r>
                  <w:rPr>
                    <w:rFonts w:ascii="Cambria Math" w:hAnsi="Cambria Math"/>
                  </w:rPr>
                  <m:t xml:space="preserve">n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60</m:t>
                </m:r>
              </m:e>
            </m:d>
          </m:e>
          <m:sub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=</m:t>
            </m:r>
            <m:r>
              <w:rPr>
                <w:rFonts w:ascii="Cambria Math" w:hAnsi="Cambria Math"/>
              </w:rPr>
              <m:t xml:space="preserve">1</m:t>
            </m:r>
          </m:sub>
          <m:sup>
            <m:r>
              <w:rPr>
                <w:rFonts w:ascii="Cambria Math" w:hAnsi="Cambria Math"/>
              </w:rPr>
              <m:t xml:space="preserve">∞</m:t>
            </m:r>
          </m:sup>
        </m:sSubSup>
      </m:oMath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Další členy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7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8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Součet prvních 20 členů aritmetické posloupnosti - podle vzorce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n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n</m:t>
                </m:r>
              </m:sub>
            </m:sSub>
          </m:e>
        </m:d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 dosazení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máme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20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20</m:t>
                </m:r>
              </m:sub>
            </m:sSub>
          </m:e>
        </m:d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 xml:space="preserve">kde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podle vzorce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n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dopočítáme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20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takže vyjde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40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15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Vzorové řešení k úloze 2 (výpočet dalších členů z jednoduchého zápisu)</w:t>
      </w:r>
      <w:r/>
    </w:p>
    <w:p>
      <w:pPr>
        <w:pStyle w:val="ListParagraph"/>
        <w:numPr>
          <w:ilvl w:val="0"/>
          <w:numId w:val="1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Najděte prvních 6 členů geometrické posloupnosti, pro kterou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243</m:t>
            </m:r>
          </m:den>
        </m:f>
      </m:oMath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,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q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(Jako obtížnější bonusové rozšíření spočtěte a vhodně vyjádřete součet prvních 20 členů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</m:oMath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.)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Ze zákonitosti geometrické posloupnosti snadno plyne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243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81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27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Dále platí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243</m:t>
            </m:r>
          </m:den>
        </m:f>
        <m:r>
          <w:rPr>
            <w:rFonts w:ascii="Cambria Math" w:hAnsi="Cambria Math"/>
          </w:rPr>
          <m:t xml:space="preserve">∙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den>
        </m:f>
        <m:r>
          <w:rPr>
            <w:rFonts w:ascii="Cambria Math" w:hAnsi="Cambria Math"/>
          </w:rPr>
          <m:t xml:space="preserve">=</m:t>
        </m:r>
        <m:f>
          <m:num>
            <m:sSup>
              <m:e>
                <m:r>
                  <w:rPr>
                    <w:rFonts w:ascii="Cambria Math" w:hAnsi="Cambria Math"/>
                  </w:rPr>
                  <m:t xml:space="preserve">3</m:t>
                </m:r>
              </m:e>
              <m:sup>
                <m:r>
                  <w:rPr>
                    <w:rFonts w:ascii="Cambria Math" w:hAnsi="Cambria Math"/>
                  </w:rPr>
                  <m:t xml:space="preserve">20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243</m:t>
            </m:r>
          </m:den>
        </m:f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ListParagraph"/>
        <w:numPr>
          <w:ilvl w:val="0"/>
          <w:numId w:val="1"/>
        </w:numPr>
        <w:jc w:val="left"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Najděte prvních 6 členů aritmetické posloupnosti, pro kterou </w:t>
      </w:r>
      <w:r/>
    </w:p>
    <w:p>
      <w:pPr>
        <w:pStyle w:val="Normal"/>
        <w:jc w:val="left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</m:oMath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  <w:t xml:space="preserve">, </w:t>
      </w:r>
      <w:r>
        <w:rPr>
          <w:rFonts w:eastAsia="" w:cs="Times New Roman" w:ascii="Times New Roman" w:hAnsi="Times New Roman" w:eastAsiaTheme="minorEastAsia"/>
          <w:color w:val="000000" w:themeColor="text1"/>
          <w:sz w:val="24"/>
          <w:szCs w:val="24"/>
        </w:rPr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Normal"/>
        <w:jc w:val="left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Navíc spočtěte součet prvních 100 členů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100</m:t>
            </m:r>
          </m:sub>
        </m:sSub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 . </w:t>
      </w:r>
      <w:r/>
    </w:p>
    <w:p>
      <w:pPr>
        <w:pStyle w:val="Normal"/>
        <w:jc w:val="left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Ze zákonitosti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en-US" w:eastAsia="zh-CN" w:bidi="hi-IN"/>
        </w:rPr>
        <w:t>aritmetick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é posloupnosti snadno plyne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2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14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3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13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12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,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Times New Roman"/>
          <w:color w:val="000000" w:themeColor="text1"/>
          <w:lang w:val="cs-CZ" w:eastAsia="zh-CN" w:bidi="hi-IN"/>
        </w:rPr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w:r/>
    </w:p>
    <w:p>
      <w:pPr>
        <w:pStyle w:val="Normal"/>
        <w:jc w:val="both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Dále platí, při využití </w:t>
      </w: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100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n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84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také součtový vzorec </w:t>
      </w:r>
      <w:r/>
    </w:p>
    <w:p>
      <w:pPr>
        <w:pStyle w:val="Normal"/>
        <w:jc w:val="both"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20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100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15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84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50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69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450</m:t>
        </m:r>
      </m:oMath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zh-CN" w:bidi="hi-IN"/>
        </w:rPr>
        <w:t xml:space="preserve">. </w:t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>
          <w:rFonts w:eastAsia="SimSun" w:cs="Lucida Sans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/>
          <w:bCs/>
          <w:color w:val="000000" w:themeColor="text1"/>
          <w:sz w:val="24"/>
          <w:szCs w:val="24"/>
          <w:u w:val="single"/>
        </w:rPr>
        <w:t>Úloha 3 (aplikace do slovní úlohy)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</w:pPr>
      <w:r>
        <w:rPr>
          <w:rFonts w:eastAsia="SimSun" w:cs="Times New Roman" w:ascii="Times New Roman" w:hAnsi="Times New Roman"/>
          <w:color w:val="000000" w:themeColor="text1"/>
          <w:sz w:val="24"/>
          <w:szCs w:val="24"/>
          <w:lang w:val="cs-CZ" w:eastAsia="en-US" w:bidi="ar-SA"/>
        </w:rPr>
        <w:t xml:space="preserve">900 tašek dáme do 9 řad tak, aby v každé následující bylo o 5 méně. Kolik je v první řadě?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</w:pPr>
      <w:r>
        <w:rPr/>
        <w:t xml:space="preserve">Zjevně jde o aritmetickou posloupnost, kde neznáme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?</m:t>
        </m:r>
      </m:oMath>
      <w:r>
        <w:rPr/>
        <w:t xml:space="preserve">, ale známe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5</m:t>
        </m:r>
      </m:oMath>
      <w:r>
        <w:rPr/>
        <w:t>, z hlediska úlohy je navíc význačná možná volba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</m:oMath>
      <w:r>
        <w:rPr/>
        <w:t xml:space="preserve">.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</w:pPr>
      <w:r>
        <w:rPr>
          <w:rFonts w:ascii="Times New Roman" w:hAnsi="Times New Roman"/>
        </w:rPr>
        <w:t xml:space="preserve">Dále víme, že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900</m:t>
        </m:r>
      </m:oMath>
      <w:r>
        <w:rPr>
          <w:rFonts w:ascii="Times New Roman" w:hAnsi="Times New Roman"/>
        </w:rPr>
        <w:t xml:space="preserve">.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</w:pPr>
      <w:r>
        <w:rPr>
          <w:rFonts w:ascii="Times New Roman" w:hAnsi="Times New Roman"/>
        </w:rPr>
        <w:t xml:space="preserve">Pro porovnání se vzorcem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9</m:t>
                </m:r>
              </m:sub>
            </m:sSub>
          </m:e>
        </m:d>
      </m:oMath>
      <w:r>
        <w:rPr>
          <w:rFonts w:ascii="Times New Roman" w:hAnsi="Times New Roman"/>
        </w:rPr>
        <w:t xml:space="preserve">je výhodné odvodit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1</m:t>
            </m:r>
          </m:e>
        </m:d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8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5</m:t>
            </m:r>
          </m:e>
        </m:d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40</m:t>
        </m:r>
      </m:oMath>
      <w:r>
        <w:rPr>
          <w:rFonts w:ascii="Times New Roman" w:hAnsi="Times New Roman"/>
        </w:rPr>
        <w:t xml:space="preserve">.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eastAsia="SimSun" w:cs="Lucida Sans" w:ascii="Times New Roman" w:hAnsi="Times New Roman"/>
          <w:color w:val="00000A"/>
          <w:sz w:val="24"/>
          <w:szCs w:val="24"/>
          <w:lang w:val="cs-CZ" w:eastAsia="zh-CN" w:bidi="hi-IN"/>
        </w:rPr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</w:pPr>
      <w:r>
        <w:rPr>
          <w:rFonts w:ascii="Times New Roman" w:hAnsi="Times New Roman"/>
        </w:rPr>
        <w:t xml:space="preserve">Potom již získáváme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900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s</m:t>
            </m:r>
          </m:e>
          <m:sub>
            <m:r>
              <w:rPr>
                <w:rFonts w:ascii="Cambria Math" w:hAnsi="Cambria Math"/>
              </w:rPr>
              <m:t xml:space="preserve">9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40</m:t>
            </m:r>
          </m:e>
        </m:d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9</m:t>
            </m:r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40</m:t>
                </m:r>
              </m:e>
            </m:d>
          </m:den>
        </m:f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20</m:t>
            </m:r>
          </m:e>
        </m:d>
      </m:oMath>
      <w:r>
        <w:rPr>
          <w:rFonts w:ascii="Times New Roman" w:hAnsi="Times New Roman"/>
        </w:rPr>
        <w:t xml:space="preserve">, odkud máme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100</m:t>
        </m:r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20</m:t>
        </m:r>
      </m:oMath>
      <w:r>
        <w:rPr>
          <w:rFonts w:ascii="Times New Roman" w:hAnsi="Times New Roman"/>
        </w:rPr>
        <w:t xml:space="preserve">, čili </w:t>
      </w:r>
      <w:r>
        <w:rPr>
          <w:rFonts w:ascii="Times New Roman" w:hAnsi="Times New Roman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a</m:t>
            </m:r>
          </m:e>
          <m:sub>
            <m:r>
              <w:rPr>
                <w:rFonts w:ascii="Cambria Math" w:hAnsi="Cambria Math"/>
              </w:rPr>
              <m:t xml:space="preserve">1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120</m:t>
        </m:r>
      </m:oMath>
      <w:r>
        <w:rPr>
          <w:rFonts w:ascii="Times New Roman" w:hAnsi="Times New Roman"/>
        </w:rPr>
        <w:t xml:space="preserve">.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V první řadě je 120 tašek.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  <w:rPr>
          <w:sz w:val="24"/>
          <w:sz w:val="24"/>
          <w:szCs w:val="24"/>
          <w:rFonts w:ascii="Times New Roman" w:hAnsi="Times New Roman" w:eastAsia="SimSun" w:cs="Lucida Sans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Počet postupně klesá až na 80, takže průměrná řada má právě 100 tašek, přitom řad je 9. Tím jsme získali součin 900 a kontrolu naší odpovědi. </w:t>
      </w:r>
      <w:r/>
    </w:p>
    <w:p>
      <w:pPr>
        <w:pStyle w:val="Normal"/>
        <w:widowControl/>
        <w:spacing w:before="0" w:after="160"/>
        <w:ind w:left="0" w:right="0" w:hanging="0"/>
        <w:jc w:val="left"/>
        <w:textAlignment w:val="auto"/>
        <w:rPr>
          <w:sz w:val="24"/>
          <w:sz w:val="24"/>
          <w:szCs w:val="24"/>
          <w:rFonts w:ascii="Liberation Serif" w:hAnsi="Liberation Serif" w:eastAsia="SimSun" w:cs="Lucida Sans"/>
          <w:color w:val="00000A"/>
          <w:lang w:val="cs-CZ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6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5834</TotalTime>
  <Application>LibreOffice/4.3.5.2$Windows_x86 LibreOffice_project/3a87456aaa6a95c63eea1c1b3201acedf0751bd5</Application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2020-06-09T20:39:07Z</dcterms:modified>
  <cp:revision>12</cp:revision>
</cp:coreProperties>
</file>