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K1/MAT na 21. 10. - 3. 11. (Poziční soustavy)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Pedformtovantext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Tento list obsahuje výklad, 4 řešené příklady a po nich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2"/>
          <w:szCs w:val="22"/>
          <w:u w:val="single"/>
          <w:lang w:val="en-US" w:eastAsia="zh-CN" w:bidi="hi-IN"/>
        </w:rPr>
        <w:t>čtyři cvičení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za domácí úkol, najdete je až na konci a poznáte podle římského číslování.</w:t>
      </w:r>
    </w:p>
    <w:p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edformtovantext"/>
        <w:rPr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Čísla zapisujeme pomocí tzv. číselných soustav. Dělíme je do dvou základních skupin:</w:t>
      </w:r>
    </w:p>
    <w:p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edformtovantext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Nepoziční číselné soustavy:</w:t>
      </w:r>
      <w:r>
        <w:rPr>
          <w:rFonts w:ascii="Times New Roman" w:hAnsi="Times New Roman"/>
          <w:sz w:val="22"/>
          <w:szCs w:val="22"/>
        </w:rPr>
        <w:t xml:space="preserve"> Hodnota číslice není dána pořadím v sekvenci číslic. Příkladem je unární/jedničková soustava (počítáme pomocí čárek nebo kuliček na počitadle). Do této kategorie řadíme také římské číslice, kde sčítáme čísla schovaná v písmenech (I = 1, V = 5, X = 10, L = 50, C = 100, D = 500, M = 1000), byť zde platí některá dodatečná pravidla. </w:t>
      </w:r>
    </w:p>
    <w:p>
      <w:pPr>
        <w:pStyle w:val="Pedformtovantext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Poziční číselné soustavy:</w:t>
      </w:r>
      <w:r>
        <w:rPr>
          <w:rFonts w:ascii="Times New Roman" w:hAnsi="Times New Roman"/>
          <w:sz w:val="22"/>
          <w:szCs w:val="22"/>
        </w:rPr>
        <w:t xml:space="preserve"> Hodnota číslice je dána pořadím v sekvenci číslic. Číslic mají sestupnou váhu. Nejběžnějším příkladem je všeobecně používaná desítková soustava.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Desítková (decimální) soustava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desítkové soustavě platí pravidla: 1) Používáme číslice (cifry) 0 – 9. 2) Poslední cifra reprezentuje jednotky, předposlední desítky, třetí od konce stovky, čtvrtá od konce tisíce atd., principem je tedy přenásobování mocnin desítky.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Historicky byla desítková soustava odvozena od počítání na prstech rukou. Desítkovou soustavou počítali již staří Egypťané (jejich říše byla ustanovena cca 3150 př. n. l.)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Napíšeme-li 1592, znamená to </w:t>
      </w:r>
    </w:p>
    <w:p>
      <w:pPr>
        <w:pStyle w:val="Pedformtovantext"/>
        <w:rPr>
          <w:sz w:val="22"/>
          <w:szCs w:val="22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⋅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⋅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1000</m:t>
            </m:r>
            <m:r>
              <w:rPr>
                <w:rFonts w:ascii="Cambria Math" w:hAnsi="Cambria Math"/>
              </w:rPr>
              <m:t xml:space="preserve">+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500</m:t>
            </m:r>
            <m:r>
              <w:rPr>
                <w:rFonts w:ascii="Cambria Math" w:hAnsi="Cambria Math"/>
              </w:rPr>
              <m:t xml:space="preserve">+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90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Poziční soustavy o jiném základu – zvláště dvojková (binární) soustava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Poziční soustavy o jiném základu fungují na stejném principu jako desítková soustava, jen příslušný základ soustavy je odlišný. Nejčastější poziční soustavou o jiném základu je dvojková soustava.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Dvojková soustava se používá v moderních počítačích, jelikož její dvě cifry (0 a 1) lze modelovat jako vypnuto – zapnuto, případně pravda – nepravda. (Číslo zapsané v dvojkové soustavě se nazývá binární číslo.)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Napíšeme-li ve dvojkové soustavě 101, znamená to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sz w:val="22"/>
          <w:szCs w:val="22"/>
        </w:rPr>
        <w:t xml:space="preserve"> v desítkové soustavě.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Převody mezi desítkovou a dvojkovou soustavou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Vyplatí se znát řadu mocnin dvojky 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16</m:t>
        </m:r>
      </m:oMath>
      <w:r>
        <w:rPr>
          <w:rFonts w:ascii="Times New Roman" w:hAnsi="Times New Roman"/>
          <w:sz w:val="22"/>
          <w:szCs w:val="22"/>
        </w:rPr>
        <w:t xml:space="preserve">,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32</m:t>
        </m:r>
      </m:oMath>
      <w:r>
        <w:rPr>
          <w:rFonts w:ascii="Times New Roman" w:hAnsi="Times New Roman"/>
          <w:sz w:val="22"/>
          <w:szCs w:val="22"/>
        </w:rPr>
        <w:t xml:space="preserve">. (Lze pokračovat i dále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6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64</m:t>
        </m:r>
      </m:oMath>
      <w:r>
        <w:rPr>
          <w:rFonts w:ascii="Times New Roman" w:hAnsi="Times New Roman"/>
          <w:sz w:val="22"/>
          <w:szCs w:val="22"/>
        </w:rPr>
        <w:t>,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7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128</m:t>
        </m:r>
      </m:oMath>
      <w:r>
        <w:rPr>
          <w:rFonts w:ascii="Times New Roman" w:hAnsi="Times New Roman"/>
          <w:sz w:val="22"/>
          <w:szCs w:val="22"/>
        </w:rPr>
        <w:t>,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8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256</m:t>
        </m:r>
      </m:oMath>
      <w:r>
        <w:rPr>
          <w:rFonts w:ascii="Times New Roman" w:hAnsi="Times New Roman"/>
          <w:sz w:val="22"/>
          <w:szCs w:val="22"/>
        </w:rPr>
        <w:t>,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9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512</m:t>
        </m:r>
      </m:oMath>
      <w:r>
        <w:rPr>
          <w:rFonts w:ascii="Times New Roman" w:hAnsi="Times New Roman"/>
          <w:sz w:val="22"/>
          <w:szCs w:val="22"/>
        </w:rPr>
        <w:t>,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1024</m:t>
        </m:r>
      </m:oMath>
      <w:r>
        <w:rPr>
          <w:rFonts w:ascii="Times New Roman" w:hAnsi="Times New Roman"/>
          <w:sz w:val="22"/>
          <w:szCs w:val="22"/>
        </w:rPr>
        <w:t xml:space="preserve">.)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Řešený příklad 1: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Převeďte </w:t>
      </w:r>
      <w:r>
        <w:rPr/>
      </w:r>
      <m:oMath xmlns:m="http://schemas.openxmlformats.org/officeDocument/2006/math"/>
      <w:r>
        <w:rPr>
          <w:rFonts w:ascii="Times New Roman" w:hAnsi="Times New Roman"/>
          <w:sz w:val="22"/>
          <w:szCs w:val="22"/>
        </w:rPr>
        <w:t xml:space="preserve">(tzn. převeďte číslo 11001 z dvojkové soustavy do desítkové soustavy).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Řešení:</w:t>
      </w:r>
      <w:r>
        <w:rPr>
          <w:rFonts w:ascii="Times New Roman" w:hAnsi="Times New Roman"/>
          <w:sz w:val="22"/>
          <w:szCs w:val="22"/>
        </w:rPr>
        <w:t xml:space="preserve"> Pokud přecházíme z nezvyklé soustavy do soustavy navyklé, potom je výhodné tvořit přepis odzadu a postupovat pomocí tzv. substituční metody </w:t>
      </w:r>
      <w:r>
        <w:rPr/>
      </w:r>
      <m:oMath xmlns:m="http://schemas.openxmlformats.org/officeDocument/2006/math"/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Řešený příklad 2: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Převeďte </w:t>
      </w:r>
      <w:r>
        <w:rPr/>
      </w:r>
      <m:oMath xmlns:m="http://schemas.openxmlformats.org/officeDocument/2006/math"/>
      <w:r>
        <w:rPr>
          <w:rFonts w:ascii="Times New Roman" w:hAnsi="Times New Roman"/>
          <w:sz w:val="22"/>
          <w:szCs w:val="22"/>
        </w:rPr>
        <w:t xml:space="preserve">(tzn. převeďte číslo 47 z desítkové soustavy do dvojkové soustavy).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Řešení:</w:t>
      </w:r>
      <w:r>
        <w:rPr>
          <w:rFonts w:ascii="Times New Roman" w:hAnsi="Times New Roman"/>
          <w:sz w:val="22"/>
          <w:szCs w:val="22"/>
        </w:rPr>
        <w:t xml:space="preserve"> Pokud přecházíme z navyklé soustavy do soustavy méně obvyklé, potom je výhodné použít metodu dělení základem. V našem případě opakované dělení dvojkou.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sz w:val="22"/>
          <w:szCs w:val="22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47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23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zb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(zbytek bude poslední cifrou, podíl použijeme v dalším kroku) </w:t>
      </w:r>
    </w:p>
    <w:p>
      <w:pPr>
        <w:pStyle w:val="Pedformtovantext"/>
        <w:rPr>
          <w:sz w:val="22"/>
          <w:szCs w:val="22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23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zb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(zbytek bude předposlední cifrou, podíl použijeme v dalším kroku) </w:t>
      </w:r>
    </w:p>
    <w:p>
      <w:pPr>
        <w:pStyle w:val="Pedformtovantext"/>
        <w:rPr>
          <w:sz w:val="22"/>
          <w:szCs w:val="22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zb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(zbytek bude třetí cifrou od konce, podíl použijeme v dalším kroku, atd.) </w:t>
      </w:r>
    </w:p>
    <w:p>
      <w:pPr>
        <w:pStyle w:val="Pedformtovantext"/>
        <w:jc w:val="left"/>
        <w:rPr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: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,</m:t>
          </m:r>
          <m:r>
            <m:rPr>
              <m:lit/>
              <m:nor/>
            </m:rPr>
            <w:rPr>
              <w:rFonts w:ascii="Cambria Math" w:hAnsi="Cambria Math"/>
            </w:rPr>
            <m:t xml:space="preserve">zb</m:t>
          </m:r>
          <m:r>
            <m:rPr>
              <m:lit/>
              <m:nor/>
            </m:rPr>
            <w:rPr>
              <w:rFonts w:ascii="Cambria Math" w:hAnsi="Cambria Math"/>
            </w:rPr>
            <m:t xml:space="preserve">.</m:t>
          </m:r>
          <m:r>
            <w:rPr>
              <w:rFonts w:ascii="Cambria Math" w:hAnsi="Cambria Math"/>
            </w:rPr>
            <m:t xml:space="preserve">1</m:t>
          </m:r>
        </m:oMath>
      </m:oMathPara>
    </w:p>
    <w:p>
      <w:pPr>
        <w:pStyle w:val="Pedformtovantext"/>
        <w:jc w:val="left"/>
        <w:rPr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: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</m:t>
          </m:r>
          <m:r>
            <w:rPr>
              <w:rFonts w:ascii="Cambria Math" w:hAnsi="Cambria Math"/>
            </w:rPr>
            <m:t xml:space="preserve">,</m:t>
          </m:r>
          <m:r>
            <m:rPr>
              <m:lit/>
              <m:nor/>
            </m:rPr>
            <w:rPr>
              <w:rFonts w:ascii="Cambria Math" w:hAnsi="Cambria Math"/>
            </w:rPr>
            <m:t xml:space="preserve">zb</m:t>
          </m:r>
          <m:r>
            <m:rPr>
              <m:lit/>
              <m:nor/>
            </m:rPr>
            <w:rPr>
              <w:rFonts w:ascii="Cambria Math" w:hAnsi="Cambria Math"/>
            </w:rPr>
            <m:t xml:space="preserve">.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Pedformtovantext"/>
        <w:rPr>
          <w:sz w:val="22"/>
          <w:szCs w:val="22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zb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(nyní jsme na podílu 0, čímž nastal konec algoritmu)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Teď si jen sepíšeme vzniklé zbytky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47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101111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Ověřit můžeme zpětným převodem </w:t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101111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32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16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8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32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8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40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</m:d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47</m:t>
                </m:r>
              </m:e>
            </m:d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sub>
        </m:sSub>
      </m:oMath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en-US" w:eastAsia="zh-CN" w:bidi="hi-IN"/>
        </w:rPr>
        <w:t xml:space="preserve">. </w:t>
      </w:r>
    </w:p>
    <w:p>
      <w:pPr>
        <w:pStyle w:val="Pedformtovantext"/>
        <w:jc w:val="left"/>
        <w:rPr>
          <w:rFonts w:eastAsia="Times New Roman" w:cs="Times New Roman"/>
          <w:b w:val="false"/>
          <w:b w:val="false"/>
          <w:bCs w:val="false"/>
          <w:color w:val="auto"/>
          <w:kern w:val="2"/>
          <w:u w:val="none"/>
          <w:lang w:val="en-US" w:eastAsia="zh-CN" w:bidi="hi-IN"/>
        </w:rPr>
      </w:pPr>
      <w:r>
        <w:rPr>
          <w:rFonts w:eastAsia="Times New Roman" w:cs="Times New Roman"/>
          <w:b w:val="false"/>
          <w:bCs w:val="false"/>
          <w:color w:val="auto"/>
          <w:kern w:val="2"/>
          <w:u w:val="none"/>
          <w:lang w:val="en-US" w:eastAsia="zh-CN" w:bidi="hi-IN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Řešený příklad 3: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sz w:val="22"/>
          <w:szCs w:val="22"/>
          <w:u w:val="none"/>
        </w:rPr>
        <w:t xml:space="preserve">Převeďte z desítkové do dvojkové soustavy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34</m:t>
                </m:r>
              </m:e>
            </m:d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sub>
        </m:sSub>
      </m:oMath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Postup A </w:t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Uhodnu rozepsání </w:t>
      </w:r>
      <w:r>
        <w:rPr/>
      </w:r>
      <m:oMath xmlns:m="http://schemas.openxmlformats.org/officeDocument/2006/math"/>
      <w:r>
        <w:rPr>
          <w:rFonts w:cs="Times New Roman" w:ascii="Times New Roman" w:hAnsi="Times New Roman"/>
          <w:sz w:val="22"/>
          <w:szCs w:val="22"/>
          <w:u w:val="none"/>
        </w:rPr>
        <w:t xml:space="preserve">, takže mám dvojkový zápis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100010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2"/>
          <w:szCs w:val="22"/>
          <w:u w:val="none"/>
        </w:rPr>
        <w:t xml:space="preserve"> </w:t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Postup B </w:t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Metoda postupného dělení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34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17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zb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2"/>
          <w:szCs w:val="22"/>
        </w:rPr>
        <w:t xml:space="preserve">(zbytek bude poslední cifrou, podíl použijeme v dalším kroku)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23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zb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2"/>
          <w:szCs w:val="22"/>
        </w:rPr>
        <w:t xml:space="preserve">(zbytek bude předposlední cifrou, podíl použijeme v dalším kroku) </w:t>
      </w:r>
    </w:p>
    <w:p>
      <w:pPr>
        <w:pStyle w:val="Pedformtovantext"/>
        <w:rPr>
          <w:rFonts w:ascii="Times New Roman" w:hAnsi="Times New Roman"/>
          <w:sz w:val="22"/>
          <w:szCs w:val="22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zb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2"/>
          <w:szCs w:val="22"/>
        </w:rPr>
        <w:t xml:space="preserve">(zbytek bude třetí cifrou od konce, podíl použijeme v dalším kroku, atd.) </w:t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: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,</m:t>
          </m:r>
          <m:r>
            <m:rPr>
              <m:lit/>
              <m:nor/>
            </m:rPr>
            <w:rPr>
              <w:rFonts w:ascii="Cambria Math" w:hAnsi="Cambria Math"/>
            </w:rPr>
            <m:t xml:space="preserve">zb</m:t>
          </m:r>
          <m:r>
            <m:rPr>
              <m:lit/>
              <m:nor/>
            </m:rPr>
            <w:rPr>
              <w:rFonts w:ascii="Cambria Math" w:hAnsi="Cambria Math"/>
            </w:rPr>
            <m:t xml:space="preserve">.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: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</m:t>
          </m:r>
          <m:r>
            <w:rPr>
              <w:rFonts w:ascii="Cambria Math" w:hAnsi="Cambria Math"/>
            </w:rPr>
            <m:t xml:space="preserve">,</m:t>
          </m:r>
          <m:r>
            <m:rPr>
              <m:lit/>
              <m:nor/>
            </m:rPr>
            <w:rPr>
              <w:rFonts w:ascii="Cambria Math" w:hAnsi="Cambria Math"/>
            </w:rPr>
            <m:t xml:space="preserve">zb</m:t>
          </m:r>
          <m:r>
            <m:rPr>
              <m:lit/>
              <m:nor/>
            </m:rPr>
            <w:rPr>
              <w:rFonts w:ascii="Cambria Math" w:hAnsi="Cambria Math"/>
            </w:rPr>
            <m:t xml:space="preserve">.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m:rPr>
            <m:lit/>
            <m:nor/>
          </m:rPr>
          <w:rPr>
            <w:rFonts w:ascii="Cambria Math" w:hAnsi="Cambria Math"/>
          </w:rPr>
          <m:t xml:space="preserve">zb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sz w:val="22"/>
          <w:szCs w:val="22"/>
          <w:u w:val="none"/>
        </w:rPr>
        <w:t xml:space="preserve">(nyní jsme na podílu 0, čímž nastal konec algoritmu) </w:t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Získané zbytky sepíši v opačném pořadí a mám výsledek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100010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2"/>
          <w:szCs w:val="22"/>
          <w:u w:val="none"/>
        </w:rPr>
        <w:t xml:space="preserve">. </w:t>
      </w:r>
    </w:p>
    <w:p>
      <w:pPr>
        <w:pStyle w:val="Pedformtovantext"/>
        <w:jc w:val="left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Pedformtovantext"/>
        <w:jc w:val="left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Řešený příklad 4: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sz w:val="22"/>
          <w:szCs w:val="22"/>
          <w:u w:val="none"/>
        </w:rPr>
        <w:t xml:space="preserve">Převeďte z dvojkové do desítkové soustavy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11011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Pedformtovan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jc w:val="left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Převádím jako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27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</m:oMath>
      <w:r>
        <w:rPr>
          <w:rFonts w:ascii="Times New Roman" w:hAnsi="Times New Roman"/>
          <w:sz w:val="22"/>
          <w:szCs w:val="22"/>
          <w:u w:val="none"/>
        </w:rPr>
        <w:t xml:space="preserve">.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Normal"/>
        <w:jc w:val="left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Cvičení I: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Převeďte čísla z dvojkové soustavy do desítkové soustavy </w:t>
      </w:r>
    </w:p>
    <w:p>
      <w:pPr>
        <w:pStyle w:val="ListParagraph"/>
        <w:numPr>
          <w:ilvl w:val="0"/>
          <w:numId w:val="0"/>
        </w:numPr>
        <w:ind w:left="36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100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0"/>
        </w:numPr>
        <w:ind w:left="36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101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110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111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1010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1100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Cvičení II: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Převeďte čísla z desítkové soustavy do dvojkové soustavy </w:t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9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10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13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10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19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10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27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10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28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10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32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 xml:space="preserve">10</m:t>
              </m:r>
            </m:sub>
          </m:sSub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Cvičení III:</w:t>
      </w:r>
      <w:r>
        <w:rPr>
          <w:rFonts w:cs="Times New Roman" w:ascii="Times New Roman" w:hAnsi="Times New Roman"/>
          <w:sz w:val="22"/>
          <w:szCs w:val="22"/>
        </w:rPr>
        <w:t xml:space="preserve"> Převeďte čísla z dvojkové soustavy do desítkové soustavy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11010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b)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10011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c)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101000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111010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Cvičení IV:</w:t>
      </w:r>
      <w:r>
        <w:rPr>
          <w:rFonts w:cs="Times New Roman" w:ascii="Times New Roman" w:hAnsi="Times New Roman"/>
          <w:sz w:val="22"/>
          <w:szCs w:val="22"/>
        </w:rPr>
        <w:t xml:space="preserve"> Převeďte čísla z desítkové soustavy do dvojkové soustavy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57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b)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68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89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eastAsia="" w:cs="Times New Roman" w:ascii="Times New Roman" w:hAnsi="Times New Roman" w:eastAsiaTheme="minorEastAsia"/>
          <w:sz w:val="22"/>
          <w:szCs w:val="22"/>
        </w:rPr>
        <w:t xml:space="preserve">d) </w:t>
      </w:r>
      <w:r>
        <w:rPr/>
      </w:r>
      <m:oMath xmlns:m="http://schemas.openxmlformats.org/officeDocument/2006/math">
        <m:sSub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111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Pedformtovantext">
    <w:name w:val="Předformátovaný text"/>
    <w:basedOn w:val="Normal"/>
    <w:qFormat/>
    <w:pPr/>
    <w:rPr>
      <w:rFonts w:ascii="Liberation Mono;Courier New" w:hAnsi="Liberation Mono;Courier New" w:eastAsia="Times New Roman"/>
      <w:sz w:val="20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LibreOffice/7.0.1.2$Windows_X86_64 LibreOffice_project/7cbcfc562f6eb6708b5ff7d7397325de9e764452</Application>
  <Pages>3</Pages>
  <Words>566</Words>
  <Characters>3082</Characters>
  <CharactersWithSpaces>3640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2020-10-21T22:11:13Z</dcterms:modified>
  <cp:revision>11</cp:revision>
  <dc:subject/>
  <dc:title/>
</cp:coreProperties>
</file>