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Další příklady z celých čísel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18. 11. - 24. 11.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u w:val="single"/>
          <w:lang w:val="en-US" w:eastAsia="cs-CZ" w:bidi="hi-IN"/>
        </w:rPr>
        <w:t>1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Spočtěte součiny dvou celých čísel </w:t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514350" cy="180975"/>
            <wp:effectExtent l="0" t="0" r="0" b="0"/>
            <wp:docPr id="1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866775" cy="200025"/>
            <wp:effectExtent l="0" t="0" r="0" b="0"/>
            <wp:docPr id="2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723900" cy="200025"/>
            <wp:effectExtent l="0" t="0" r="0" b="0"/>
            <wp:docPr id="3" name="obrázek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1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723900" cy="200025"/>
            <wp:effectExtent l="0" t="0" r="0" b="0"/>
            <wp:docPr id="4" name="obrázek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1"/>
          <w:szCs w:val="21"/>
          <w:u w:val="single"/>
          <w:lang w:val="en-US" w:eastAsia="cs-CZ" w:bidi="hi-IN"/>
        </w:rPr>
        <w:t>2</w:t>
      </w:r>
      <w:r>
        <w:rPr>
          <w:rFonts w:ascii="Times New Roman" w:hAnsi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/>
          <w:sz w:val="21"/>
          <w:szCs w:val="21"/>
        </w:rPr>
        <w:t xml:space="preserve"> Řešte příklady s velkým počtem záporných znamének </w:t>
      </w:r>
    </w:p>
    <w:p>
      <w:pPr>
        <w:pStyle w:val="PlainTex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1400175" cy="200025"/>
            <wp:effectExtent l="0" t="0" r="0" b="0"/>
            <wp:docPr id="5" name="obrázek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2057400" cy="200025"/>
            <wp:effectExtent l="0" t="0" r="0" b="0"/>
            <wp:docPr id="6" name="obrázek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1000125" cy="200025"/>
            <wp:effectExtent l="0" t="0" r="0" b="0"/>
            <wp:docPr id="7" name="obrázek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ind w:left="36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/>
        <w:drawing>
          <wp:inline distT="0" distB="0" distL="0" distR="0">
            <wp:extent cx="1323975" cy="200025"/>
            <wp:effectExtent l="0" t="0" r="0" b="0"/>
            <wp:docPr id="8" name="obrázek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PlainTex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PlainTex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Využití komutativity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počítání s celými čísly můžeme využít komutativity operací sčítání a násobení. Tedy skutečnosti, že řada sčítanců či činitelů můžeme libovolně prohazovat, aniž bychom změnili výsledek.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Řešený příklad I:</w:t>
      </w:r>
      <w:r>
        <w:rPr>
          <w:rFonts w:ascii="Times New Roman" w:hAnsi="Times New Roman"/>
        </w:rPr>
        <w:t xml:space="preserve"> Sčítání </w:t>
      </w:r>
      <w:r>
        <w:rPr/>
        <w:drawing>
          <wp:inline distT="0" distB="0" distL="0" distR="0">
            <wp:extent cx="1209675" cy="180975"/>
            <wp:effectExtent l="0" t="0" r="0" b="0"/>
            <wp:docPr id="9" name="obrázek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3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můžeme snadno upravit vhodným přerovnáním </w:t>
      </w:r>
    </w:p>
    <w:p>
      <w:pPr>
        <w:pStyle w:val="PlainText"/>
        <w:rPr>
          <w:rFonts w:ascii="Times New Roman" w:hAnsi="Times New Roman"/>
        </w:rPr>
      </w:pPr>
      <w:r>
        <w:rPr/>
        <w:drawing>
          <wp:inline distT="0" distB="0" distL="0" distR="0">
            <wp:extent cx="3609975" cy="180975"/>
            <wp:effectExtent l="0" t="0" r="0" b="0"/>
            <wp:docPr id="10" name="obrázek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Řešený příklad II:</w:t>
      </w:r>
      <w:r>
        <w:rPr>
          <w:rFonts w:ascii="Times New Roman" w:hAnsi="Times New Roman"/>
        </w:rPr>
        <w:t xml:space="preserve"> Násobení </w:t>
      </w:r>
      <w:r>
        <w:rPr/>
        <w:drawing>
          <wp:inline distT="0" distB="0" distL="0" distR="0">
            <wp:extent cx="676275" cy="180975"/>
            <wp:effectExtent l="0" t="0" r="0" b="0"/>
            <wp:docPr id="11" name="obrázek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3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můžeme snadno upravit vhodným přerovnáním </w:t>
      </w:r>
      <w:r>
        <w:rPr/>
        <w:drawing>
          <wp:inline distT="0" distB="0" distL="0" distR="0">
            <wp:extent cx="2543175" cy="180975"/>
            <wp:effectExtent l="0" t="0" r="0" b="0"/>
            <wp:docPr id="12" name="obrázek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Komutativitu můžeme použít i v situaci, kdy se nám vyskytne v příkladech odčítání, potom ale musíme při přemísťování čísla důsledně přenášet i jeho znaménko.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Řešený příklad III:</w:t>
      </w:r>
      <w:r>
        <w:rPr>
          <w:rFonts w:ascii="Times New Roman" w:hAnsi="Times New Roman"/>
        </w:rPr>
        <w:t xml:space="preserve"> </w:t>
      </w:r>
      <w:r>
        <w:rPr/>
        <w:drawing>
          <wp:inline distT="0" distB="0" distL="0" distR="0">
            <wp:extent cx="6057900" cy="352425"/>
            <wp:effectExtent l="0" t="0" r="0" b="0"/>
            <wp:docPr id="13" name="obrázek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3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05025" cy="180975"/>
            <wp:effectExtent l="0" t="0" r="0" b="0"/>
            <wp:docPr id="14" name="obrázek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3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u w:val="single"/>
          <w:lang w:val="en-US" w:eastAsia="cs-CZ" w:bidi="hi-IN"/>
        </w:rPr>
        <w:t>3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Spočtěte součty celých čísel – pomoci může komutativita </w:t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2047875" cy="180975"/>
            <wp:effectExtent l="0" t="0" r="0" b="0"/>
            <wp:docPr id="15" name="obrázek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3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1943100" cy="209550"/>
            <wp:effectExtent l="0" t="0" r="0" b="0"/>
            <wp:docPr id="16" name="obrázek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37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1676400" cy="209550"/>
            <wp:effectExtent l="0" t="0" r="0" b="0"/>
            <wp:docPr id="17" name="obrázek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3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2590800" cy="209550"/>
            <wp:effectExtent l="0" t="0" r="0" b="0"/>
            <wp:docPr id="18" name="obrázek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39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Cvičení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u w:val="single"/>
          <w:lang w:val="en-US" w:eastAsia="cs-CZ" w:bidi="hi-IN"/>
        </w:rPr>
        <w:t>4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Spočtěte součiny celých čísel – pomoci může komutativita </w:t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790575" cy="180975"/>
            <wp:effectExtent l="0" t="0" r="0" b="0"/>
            <wp:docPr id="19" name="obrázek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40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numPr>
          <w:ilvl w:val="0"/>
          <w:numId w:val="3"/>
        </w:numPr>
        <w:rPr>
          <w:rFonts w:ascii="Times New Roman" w:hAnsi="Times New Roman"/>
        </w:rPr>
      </w:pPr>
      <w:r>
        <w:rPr/>
        <w:drawing>
          <wp:inline distT="0" distB="0" distL="0" distR="0">
            <wp:extent cx="1590675" cy="209550"/>
            <wp:effectExtent l="0" t="0" r="0" b="0"/>
            <wp:docPr id="20" name="obrázek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4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u w:val="single"/>
          <w:lang w:val="en-US" w:eastAsia="cs-CZ" w:bidi="hi-IN"/>
        </w:rPr>
        <w:t>Bonusové cvičení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Sestavte desítku ze čtyř přirozených čísel mezi 1 a 10. Použít musíte všechna čísla, dále můžete použít sčítání, odčítání, násobení, dělení a závorky.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Vzor: Máte-li čísla 4, 6, 7, 8; platí </w:t>
      </w:r>
      <w:r>
        <w:rPr/>
        <w:drawing>
          <wp:inline distT="0" distB="0" distL="0" distR="0">
            <wp:extent cx="1647825" cy="200025"/>
            <wp:effectExtent l="0" t="0" r="0" b="0"/>
            <wp:docPr id="21" name="obrázek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4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Nyní sestavte desítku z následujících čísel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1, 2, 3, 4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2, 3, 8, 9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4, 7, 9, 10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1, 5, 6, 8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5, 6, 7, 10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2, 3, 5, 7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1, 4, 6, 9 </w:t>
      </w:r>
    </w:p>
    <w:p>
      <w:pPr>
        <w:pStyle w:val="Plai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3, 7, 8, 9 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LibreOffice/7.0.1.2$Windows_X86_64 LibreOffice_project/7cbcfc562f6eb6708b5ff7d7397325de9e764452</Application>
  <Pages>2</Pages>
  <Words>214</Words>
  <Characters>1022</Characters>
  <CharactersWithSpaces>1230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2020-11-17T18:53:40Z</dcterms:modified>
  <cp:revision>12</cp:revision>
  <dc:subject/>
  <dc:title/>
</cp:coreProperties>
</file>