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Teorie a ukázky: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Neúplné kvadratické rovnice, od 18. 11. 2020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A) Ryze kvadratické rovnice (bez lineárního členu)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19"/>
          <w:szCs w:val="19"/>
          <w:u w:val="single"/>
        </w:rPr>
        <w:t>Poznáme je:</w:t>
      </w:r>
      <w:r>
        <w:rPr>
          <w:rFonts w:cs="Times New Roman" w:ascii="Times New Roman" w:hAnsi="Times New Roman"/>
          <w:sz w:val="19"/>
          <w:szCs w:val="19"/>
        </w:rPr>
        <w:t xml:space="preserve"> Nevyskytuje se v nich ,,neumocněné´´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(případně se jej umíme zbavit úpravou) </w:t>
      </w:r>
      <w:bookmarkStart w:id="0" w:name="_GoBack"/>
      <w:bookmarkEnd w:id="0"/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19"/>
          <w:szCs w:val="19"/>
        </w:rPr>
        <w:t xml:space="preserve">Tyto rovnice řešíme úpravou do tvaru </w:t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číslo</m:t>
              </m:r>
            </m:num>
            <m:den>
              <m:rad>
                <m:radPr>
                  <m:degHide m:val="1"/>
                </m:radPr>
                <m:deg/>
                <m:e/>
              </m:rad>
            </m:den>
          </m:f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d>
            <m:dPr>
              <m:begChr m:val="|"/>
              <m:endChr m:val="|"/>
            </m:dPr>
            <m:e>
              <m:r>
                <w:rPr>
                  <w:rFonts w:ascii="Cambria Math" w:hAnsi="Cambria Math"/>
                </w:rPr>
                <m:t xml:space="preserve">x</m:t>
              </m:r>
            </m:e>
          </m:d>
          <m:r>
            <w:rPr>
              <w:rFonts w:ascii="Cambria Math" w:hAnsi="Cambria Math"/>
            </w:rPr>
            <m:t xml:space="preserve">=</m:t>
          </m:r>
          <m:rad>
            <m:radPr>
              <m:degHide m:val="1"/>
            </m:radPr>
            <m:deg/>
            <m:e>
              <m:r>
                <w:rPr>
                  <w:rFonts w:ascii="Cambria Math" w:hAnsi="Cambria Math"/>
                </w:rPr>
                <m:t xml:space="preserve">číslo</m:t>
              </m:r>
            </m:e>
          </m:rad>
        </m:oMath>
      </m:oMathPara>
    </w:p>
    <w:p>
      <w:pPr>
        <w:pStyle w:val="Normal"/>
        <w:jc w:val="left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číslo</m:t>
            </m:r>
          </m:e>
        </m:rad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, pokud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číslo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      (dvě řešení, dva kořeny)</w:t>
      </w:r>
    </w:p>
    <w:p>
      <w:pPr>
        <w:pStyle w:val="Normal"/>
        <w:jc w:val="left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, pokud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číslo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      (jedno řešení, tzv. dvojnásobný kořen)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nemá řešení                             (žádné reálné řešení, žádný reálný kořen)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19"/>
          <w:szCs w:val="19"/>
        </w:rPr>
      </w:pPr>
      <w:r>
        <w:rPr>
          <w:rFonts w:eastAsia="" w:cs="Times New Roman" w:eastAsiaTheme="minorEastAsia" w:ascii="Times New Roman" w:hAnsi="Times New Roman"/>
          <w:sz w:val="19"/>
          <w:szCs w:val="19"/>
        </w:rPr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Příklady 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5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45</m:t>
          </m:r>
        </m:oMath>
      </m:oMathPara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Řešení I) </w:t>
      </w:r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5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45</m:t>
              </m:r>
            </m:num>
            <m:den>
              <m:r>
                <w:rPr>
                  <w:rFonts w:ascii="Cambria Math" w:hAnsi="Cambria Math"/>
                </w:rPr>
                <m:t xml:space="preserve">:</m:t>
              </m:r>
            </m:den>
          </m:f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5</m:t>
              </m:r>
            </m:e>
          </m:d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9</m:t>
              </m:r>
            </m:num>
            <m:den>
              <m:rad>
                <m:radPr>
                  <m:degHide m:val="1"/>
                </m:radPr>
                <m:deg/>
                <m:e/>
              </m:rad>
            </m:den>
          </m:f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d>
            <m:dPr>
              <m:begChr m:val="|"/>
              <m:endChr m:val="|"/>
            </m:dPr>
            <m:e>
              <m:r>
                <w:rPr>
                  <w:rFonts w:ascii="Cambria Math" w:hAnsi="Cambria Math"/>
                </w:rPr>
                <m:t xml:space="preserve">x</m:t>
              </m:r>
            </m:e>
          </m:d>
          <m:r>
            <w:rPr>
              <w:rFonts w:ascii="Cambria Math" w:hAnsi="Cambria Math"/>
            </w:rPr>
            <m:t xml:space="preserve">=</m:t>
          </m:r>
          <m:rad>
            <m:radPr>
              <m:degHide m:val="1"/>
            </m:radPr>
            <m:deg/>
            <m:e>
              <m:r>
                <w:rPr>
                  <w:rFonts w:ascii="Cambria Math" w:hAnsi="Cambria Math"/>
                </w:rPr>
                <m:t xml:space="preserve">9</m:t>
              </m:r>
            </m:e>
          </m:ra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,</m:t>
          </m:r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</m:t>
          </m:r>
        </m:oMath>
      </m:oMathPara>
    </w:p>
    <w:p>
      <w:pPr>
        <w:pStyle w:val="ListParagraph"/>
        <w:numPr>
          <w:ilvl w:val="0"/>
          <w:numId w:val="1"/>
        </w:numPr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2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72</m:t>
          </m:r>
        </m:oMath>
      </m:oMathPara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Řešení II) </w:t>
      </w:r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2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72</m:t>
              </m:r>
            </m:num>
            <m:den>
              <m:r>
                <w:rPr>
                  <w:rFonts w:ascii="Cambria Math" w:hAnsi="Cambria Math"/>
                </w:rPr>
                <m:t xml:space="preserve">:</m:t>
              </m:r>
            </m:den>
          </m:f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36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   </w:t>
      </w:r>
      <w:r>
        <w:rPr>
          <w:rFonts w:eastAsia="" w:cs="Times New Roman" w:ascii="Times New Roman" w:hAnsi="Times New Roman" w:eastAsiaTheme="minorEastAsia"/>
          <w:sz w:val="19"/>
          <w:szCs w:val="19"/>
        </w:rPr>
        <w:t>(záporná čísla nelze odmocnit)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Rovnice nemá řešení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b/>
          <w:b/>
          <w:sz w:val="20"/>
          <w:szCs w:val="20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b/>
          <w:b/>
          <w:sz w:val="24"/>
          <w:szCs w:val="24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b/>
          <w:b/>
          <w:sz w:val="24"/>
          <w:szCs w:val="24"/>
          <w:u w:val="single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24"/>
          <w:szCs w:val="24"/>
          <w:u w:val="single"/>
        </w:rPr>
        <w:t xml:space="preserve">B) Rovnice bez absolutního členu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  <w:u w:val="single"/>
        </w:rPr>
        <w:t>Poznáme je:</w:t>
      </w: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Nevyskytuje se v nich osamocené číslo (případně se jej umíme zbavit úpravou)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Tyto rovnice řešíme úpravou na součin a následnou diskusí jeho nulovosti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Nejprve upravujeme na tvar </w:t>
      </w:r>
    </w:p>
    <w:p>
      <w:pPr>
        <w:pStyle w:val="Normal"/>
        <w:jc w:val="left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bx</m:t>
        </m:r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0</m:t>
            </m:r>
          </m:num>
          <m:den>
            <m:r>
              <w:rPr>
                <w:rFonts w:ascii="Cambria Math" w:hAnsi="Cambria Math"/>
              </w:rPr>
              <m:t xml:space="preserve">:</m:t>
            </m:r>
          </m:den>
        </m:f>
        <m:r>
          <w:rPr>
            <w:rFonts w:ascii="Cambria Math" w:hAnsi="Cambria Math"/>
          </w:rPr>
          <m:t xml:space="preserve">a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    </w:t>
      </w:r>
      <w:r>
        <w:rPr>
          <w:rFonts w:eastAsia="" w:cs="Times New Roman" w:ascii="Times New Roman" w:hAnsi="Times New Roman" w:eastAsiaTheme="minorEastAsia"/>
          <w:sz w:val="19"/>
          <w:szCs w:val="19"/>
        </w:rPr>
        <w:t>(</w:t>
      </w:r>
      <w:r>
        <w:rPr>
          <w:rFonts w:eastAsia="" w:cs="Times New Roman" w:ascii="Times New Roman" w:hAnsi="Times New Roman" w:eastAsiaTheme="minorEastAsia"/>
          <w:i/>
          <w:sz w:val="19"/>
          <w:szCs w:val="19"/>
        </w:rPr>
        <w:t>a, b</w:t>
      </w: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jsou opět nějaká čísla) </w:t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  <m:r>
            <w:rPr>
              <w:rFonts w:ascii="Cambria Math" w:hAnsi="Cambria Math"/>
            </w:rPr>
            <m:t xml:space="preserve">…</m:t>
          </m:r>
          <m:r>
            <w:rPr>
              <w:rFonts w:ascii="Cambria Math" w:hAnsi="Cambria Math"/>
            </w:rPr>
            <m:t xml:space="preserve">vytknutí</m:t>
          </m:r>
          <m:r>
            <w:rPr>
              <w:rFonts w:ascii="Cambria Math" w:hAnsi="Cambria Math"/>
            </w:rPr>
            <m:t xml:space="preserve">proměnné</m:t>
          </m:r>
          <m:r>
            <w:rPr>
              <w:rFonts w:ascii="Cambria Math" w:hAnsi="Cambria Math"/>
            </w:rPr>
            <m:t xml:space="preserve">x</m:t>
          </m:r>
        </m:oMath>
      </m:oMathPara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x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b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a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Buď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Anebo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, tedy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Příklady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III)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</m:oMath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Řešení III) </w:t>
      </w:r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:</m:t>
              </m:r>
            </m:den>
          </m:f>
          <m:r>
            <w:rPr>
              <w:rFonts w:ascii="Cambria Math" w:hAnsi="Cambria Math"/>
            </w:rPr>
            <m:t xml:space="preserve">3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x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x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ind w:left="1080" w:hanging="0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Součin je nulový, tedy jeden z činitelů je nulový. Buď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anebo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. </w:t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  <m:r>
            <w:rPr>
              <w:rFonts w:ascii="Cambria Math" w:hAnsi="Cambria Math"/>
            </w:rPr>
            <m:t xml:space="preserve">,</m:t>
          </m:r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IV)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</m:oMath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b/>
          <w:sz w:val="19"/>
          <w:szCs w:val="19"/>
        </w:rPr>
        <w:t xml:space="preserve">Řešení IV) </w:t>
      </w:r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4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:</m:t>
              </m:r>
            </m:den>
          </m:f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</m:oMath>
      </m:oMathPara>
    </w:p>
    <w:p>
      <w:pPr>
        <w:pStyle w:val="ListParagraph"/>
        <w:ind w:left="1080" w:hanging="0"/>
        <w:jc w:val="left"/>
        <w:rPr>
          <w:rFonts w:ascii="Times New Roman" w:hAnsi="Times New Roman" w:eastAsia="" w:cs="Times New Roman" w:eastAsiaTheme="minorEastAsia"/>
          <w:sz w:val="19"/>
          <w:szCs w:val="19"/>
        </w:rPr>
      </w:pPr>
      <w:r>
        <w:rPr>
          <w:rFonts w:eastAsia="" w:cs="Times New Roman" w:eastAsiaTheme="minorEastAsia" w:ascii="Times New Roman" w:hAnsi="Times New Roman"/>
          <w:sz w:val="19"/>
          <w:szCs w:val="19"/>
        </w:rPr>
      </w:r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f>
            <m:fPr>
              <m:type m:val="lin"/>
            </m:fPr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x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ind w:left="1080"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x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ind w:left="1080" w:hanging="0"/>
        <w:jc w:val="left"/>
        <w:rPr>
          <w:rFonts w:ascii="Times New Roman" w:hAnsi="Times New Roman" w:eastAsia="" w:cs="Times New Roman" w:eastAsiaTheme="minorEastAsia"/>
          <w:sz w:val="19"/>
          <w:szCs w:val="19"/>
        </w:rPr>
      </w:pPr>
      <w:r>
        <w:rPr>
          <w:rFonts w:eastAsia="" w:cs="Times New Roman" w:eastAsiaTheme="minorEastAsia" w:ascii="Times New Roman" w:hAnsi="Times New Roman"/>
          <w:sz w:val="19"/>
          <w:szCs w:val="19"/>
        </w:rPr>
      </w:r>
    </w:p>
    <w:p>
      <w:pPr>
        <w:pStyle w:val="ListParagraph"/>
        <w:ind w:left="1080" w:hanging="0"/>
        <w:jc w:val="left"/>
        <w:rPr/>
      </w:pPr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Součin je nulový, tedy jeden z činitelů je nulový. Buď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 anebo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19"/>
          <w:szCs w:val="19"/>
        </w:rPr>
        <w:t xml:space="preserve">. </w:t>
      </w:r>
    </w:p>
    <w:p>
      <w:pPr>
        <w:pStyle w:val="Normal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  <m:r>
            <w:rPr>
              <w:rFonts w:ascii="Cambria Math" w:hAnsi="Cambria Math"/>
            </w:rPr>
            <m:t xml:space="preserve">,</m:t>
          </m:r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Normal"/>
        <w:jc w:val="left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3579"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c0b31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8641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1a1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8641c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2</Pages>
  <Words>146</Words>
  <Characters>750</Characters>
  <CharactersWithSpaces>946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2018-11-06T06:48:00Z</dcterms:created>
  <dc:creator>01</dc:creator>
  <dc:description/>
  <dc:language>cs-CZ</dc:language>
  <cp:lastModifiedBy/>
  <cp:lastPrinted>2016-11-29T09:29:00Z</cp:lastPrinted>
  <dcterms:modified xsi:type="dcterms:W3CDTF">2020-11-17T21:57:58Z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