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K4/MAT: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Různé typy úročení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1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11. -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24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D0D0D" w:themeColor="text1" w:themeTint="f2"/>
          <w:u w:val="single"/>
        </w:rPr>
      </w:pPr>
      <w:r>
        <w:rPr>
          <w:rFonts w:cs="Times New Roman" w:ascii="Times New Roman" w:hAnsi="Times New Roman"/>
          <w:b/>
          <w:color w:val="0D0D0D" w:themeColor="text1" w:themeTint="f2"/>
          <w:u w:val="single"/>
        </w:rPr>
        <w:t>Úloha 1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Kolik korun musíme vložit do banky, abychom po 5 letech měli k dispozici 250 000 Kč, pokud banka každoročně připisuje na konci roku 2% z hodnoty vkladu? (Uvažujte </w:t>
      </w:r>
      <w:r>
        <w:rPr>
          <w:rFonts w:cs="Times New Roman" w:ascii="Times New Roman" w:hAnsi="Times New Roman"/>
          <w:color w:val="0D0D0D" w:themeColor="text1" w:themeTint="f2"/>
          <w:u w:val="single"/>
        </w:rPr>
        <w:t>jednoduché úročení</w:t>
      </w:r>
      <w:r>
        <w:rPr>
          <w:rFonts w:cs="Times New Roman" w:ascii="Times New Roman" w:hAnsi="Times New Roman"/>
          <w:color w:val="0D0D0D" w:themeColor="text1" w:themeTint="f2"/>
        </w:rPr>
        <w:t xml:space="preserve">.)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D0D0D" w:themeColor="text1" w:themeTint="f2"/>
          <w:u w:val="single"/>
        </w:rPr>
      </w:pPr>
      <w:r>
        <w:rPr>
          <w:rFonts w:cs="Times New Roman" w:ascii="Times New Roman" w:hAnsi="Times New Roman"/>
          <w:b/>
          <w:color w:val="0D0D0D" w:themeColor="text1" w:themeTint="f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D0D0D" w:themeColor="text1" w:themeTint="f2"/>
          <w:u w:val="single"/>
        </w:rPr>
      </w:pPr>
      <w:r>
        <w:rPr>
          <w:rFonts w:cs="Times New Roman" w:ascii="Times New Roman" w:hAnsi="Times New Roman"/>
          <w:b/>
          <w:color w:val="0D0D0D" w:themeColor="text1" w:themeTint="f2"/>
          <w:u w:val="single"/>
        </w:rPr>
        <w:t>Úloha 2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Kolik korun musíme vložit do banky, abychom po 5 letech měli k dispozici 250 000 Kč, pokud banka každoročně připisuje na konci roku 2% z hodnoty vkladu? (Uvažujte </w:t>
      </w:r>
      <w:r>
        <w:rPr>
          <w:rFonts w:cs="Times New Roman" w:ascii="Times New Roman" w:hAnsi="Times New Roman"/>
          <w:color w:val="0D0D0D" w:themeColor="text1" w:themeTint="f2"/>
          <w:u w:val="single"/>
        </w:rPr>
        <w:t>složené úročení</w:t>
      </w:r>
      <w:r>
        <w:rPr>
          <w:rFonts w:cs="Times New Roman" w:ascii="Times New Roman" w:hAnsi="Times New Roman"/>
          <w:color w:val="0D0D0D" w:themeColor="text1" w:themeTint="f2"/>
        </w:rPr>
        <w:t xml:space="preserve">.) </w:t>
      </w:r>
    </w:p>
    <w:p>
      <w:pPr>
        <w:pStyle w:val="Normal"/>
        <w:jc w:val="lef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Úloha 3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 využitím informačních zdrojů krátce vysvětlete pojem inflace. Jaká jsou její možná pozitiva a negativa?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Vzorce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Jednoduché úročení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360</m:t>
            </m:r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eastAsia="" w:cs="Times New Roman" w:ascii="Times New Roman" w:hAnsi="Times New Roman" w:eastAsiaTheme="minorEastAsia"/>
        </w:rPr>
        <w:t xml:space="preserve"> 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D0D0D" w:themeColor="text1" w:themeTint="f2"/>
          <w:u w:val="single"/>
        </w:rPr>
      </w:pPr>
      <w:r>
        <w:rPr>
          <w:rFonts w:cs="Times New Roman" w:ascii="Times New Roman" w:hAnsi="Times New Roman"/>
          <w:b/>
          <w:color w:val="0D0D0D" w:themeColor="text1" w:themeTint="f2"/>
          <w:u w:val="single"/>
        </w:rPr>
        <w:t xml:space="preserve">Složené úročení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t</m:t>
              </m:r>
            </m:sub>
          </m:sSub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0</m:t>
              </m:r>
            </m:sub>
          </m:sSub>
          <m:sSup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 xml:space="preserve">t</m:t>
              </m:r>
            </m:sup>
          </m:sSup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0</m:t>
              </m:r>
            </m:sub>
          </m:sSub>
          <m:sSup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 xml:space="preserve">t</m:t>
              </m:r>
            </m:sup>
          </m:sSup>
        </m:oMath>
      </m:oMathPara>
    </w:p>
    <w:p>
      <w:pPr>
        <w:pStyle w:val="Normal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</w:t>
      </w:r>
      <w:r>
        <w:rPr>
          <w:rFonts w:cs="Times New Roman" w:ascii="Times New Roman" w:hAnsi="Times New Roman"/>
          <w:vertAlign w:val="subscript"/>
        </w:rPr>
        <w:t>t</w:t>
      </w:r>
      <w:r>
        <w:rPr>
          <w:rFonts w:cs="Times New Roman" w:ascii="Times New Roman" w:hAnsi="Times New Roman"/>
        </w:rPr>
        <w:t xml:space="preserve"> … zúročená výše kapitálu            K</w:t>
      </w:r>
      <w:r>
        <w:rPr>
          <w:rFonts w:cs="Times New Roman" w:ascii="Times New Roman" w:hAnsi="Times New Roman"/>
          <w:vertAlign w:val="subscript"/>
        </w:rPr>
        <w:t>0</w:t>
      </w:r>
      <w:r>
        <w:rPr>
          <w:rFonts w:cs="Times New Roman" w:ascii="Times New Roman" w:hAnsi="Times New Roman"/>
        </w:rPr>
        <w:t xml:space="preserve"> … počáteční kapitál (vklad)     u … úrok       i … výše úrokové sazby (absolutní)     p … výše úrokové sazby (v procentech)      t … čas v letech (jeho vyjádření)      d … počet dnů – dohodnutá délka bankovního roku 360 dnů (někdy 365 nebo 366 dnů),  měsíce obvykle uvažovány po 30 dnech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LibreOffice/7.0.1.2$Windows_X86_64 LibreOffice_project/7cbcfc562f6eb6708b5ff7d7397325de9e764452</Application>
  <Pages>1</Pages>
  <Words>149</Words>
  <Characters>726</Characters>
  <CharactersWithSpaces>910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2020-11-17T21:14:38Z</dcterms:modified>
  <cp:revision>18</cp:revision>
  <dc:subject/>
  <dc:title/>
</cp:coreProperties>
</file>