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13.wmf" ContentType="image/x-wmf"/>
  <Override PartName="/word/media/image4.jpeg" ContentType="image/jpeg"/>
  <Override PartName="/word/media/image2.wmf" ContentType="image/x-wmf"/>
  <Override PartName="/word/media/image3.wmf" ContentType="image/x-wmf"/>
  <Override PartName="/word/media/image6.jpeg" ContentType="image/jpeg"/>
  <Override PartName="/word/media/image5.jpeg" ContentType="image/jpeg"/>
  <Override PartName="/word/media/image8.wmf" ContentType="image/x-wmf"/>
  <Override PartName="/word/media/image7.jpeg" ContentType="image/jpeg"/>
  <Override PartName="/word/media/image9.wmf" ContentType="image/x-wmf"/>
  <Override PartName="/word/media/image10.wmf" ContentType="image/x-wmf"/>
  <Override PartName="/word/media/image11.jpeg" ContentType="image/jpeg"/>
  <Override PartName="/word/media/image12.wmf" ContentType="image/x-wmf"/>
  <Override PartName="/word/media/image14.wmf" ContentType="image/x-wmf"/>
  <Override PartName="/word/media/image1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Podpůrný list k Vennovým diagramům (dvě metody),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od 23. 1.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eastAsia="Times New Roman" w:ascii="Times New Roman" w:hAnsi="Times New Roman"/>
          <w:b/>
          <w:u w:val="single"/>
          <w:lang w:val="cs-CZ"/>
        </w:rPr>
        <w:t>Průnik množin, sjednocení množin, rozdíl množin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Průnikem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– rozumíme všechny prvky, jež jsou zároveň v množině A i v množině B.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Sjednocením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– rozumíme všechny prvky, které patří alespoň do jedné z těchto množin.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Rozdílem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(někdy též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∖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) – rozumíme všechny prvky, které patří do množiny A, ale nepatří do množiny B.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Pokud o dvojici množin A, B 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∅</m:t>
        </m:r>
      </m:oMath>
      <w:r>
        <w:rPr>
          <w:rFonts w:ascii="Times New Roman" w:hAnsi="Times New Roman"/>
          <w:lang w:val="cs-CZ"/>
        </w:rPr>
        <w:t xml:space="preserve">, mluvíme o disjunktních množinách.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>Vennovy diagramy jsou metodou, jak můžeme množinové úlohy řešit pomocí obrázků.</w:t>
      </w:r>
      <w:r>
        <w:rPr>
          <w:rFonts w:ascii="Times New Roman" w:hAnsi="Times New Roman"/>
          <w:b/>
          <w:bCs/>
          <w:u w:val="none"/>
          <w:lang w:val="cs-CZ" w:eastAsia="cs-CZ"/>
        </w:rPr>
        <w:t xml:space="preserve">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 w:eastAsia="cs-CZ"/>
        </w:rPr>
        <w:t>Vzorové řešení náročnější úlohy z předchozího úkolu – metoda zpřesňování odhadu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1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2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více než leteckých zájezdů do Chorvatska. 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3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Do úlohy vstupují množiny Ch (zájezdy do Chorvatska) a L (letecké zájezdy). Vennovy diagramy aplikujeme tak, že univerzální množinu 166 zájezdů rozdělíme do skupin: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ani do Chorvatska, ani letecký (doplněk sjednocení obou množin do univerzální množiny U, psáno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Ch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L</m:t>
            </m:r>
          </m:e>
        </m:d>
        <m:sSub>
          <m:e>
            <m:r>
              <w:rPr>
                <w:rFonts w:ascii="Cambria Math" w:hAnsi="Cambria Math"/>
              </w:rPr>
              <m:t xml:space="preserve">´</m:t>
            </m:r>
          </m:e>
          <m:sub>
            <m:r>
              <w:rPr>
                <w:rFonts w:ascii="Cambria Math" w:hAnsi="Cambria Math"/>
              </w:rPr>
              <m:t xml:space="preserve">U</m:t>
            </m:r>
          </m:sub>
        </m:sSub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vnitřek závorky značí sjednocení, čárka doplněk, index U vůči jaké množině) … modře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Chorvatska, ale ne letecký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zeleně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 a zároveň letecký (průnik množin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žlutě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letecký, ale ne do Chorvatska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Ch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červeně </w:t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Zkusíme pro začátek do žluté skupiny (Chorvatsko a letecky) umístit 0 zájezdů, jelikož je vymezena jako o 40 menší vůči zelené skupině (Chorvatsko bez letadla). Potom musí být v zelené skupině 40 zájezdů. Modrá skupina (mimo Chorvatsko bez letadla) je o 30 menší vůči zelené, takže máme velikost 10.  Do zbývající červené skupiny nám vybude 166 – 0 – 40 – 10 = 166 – 50 = 116 zájezdů.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Tento výsledek má jen dva háčky: 1) byl odvozen od náhodné volby 0 zájezdů ve žluté skupině; 2) nesplňuje podmínku, že leteckých zájezdů (L, červeno-žlutá) je dvakrát více než chorvatských (Ch, zeleno-žlutá) – poměr 116:40 totiž neodpovídá dvojnásobku, ale dobře si ho zapamatujeme!  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3245" cy="2799080"/>
            <wp:effectExtent l="0" t="0" r="0" b="0"/>
            <wp:wrapSquare wrapText="largest"/>
            <wp:docPr id="5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Pro odladění do optimální podoby je tedy vhodné odsunovat zájezdy z červené množiny (nese příliš prvků), plnit žlutou množinu (je zatím naprosto prázdná z našeho prvního nástřelu) a přitom dodržovat další dva vztahy uvedené v zadání.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Ty si pro jistotu zaznačíme do diagramu, abychom je uhlídali.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60060" cy="3558540"/>
            <wp:effectExtent l="0" t="0" r="0" b="0"/>
            <wp:wrapSquare wrapText="largest"/>
            <wp:docPr id="6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Prvky nyní přesouváme takto:</w:t>
      </w:r>
      <w:r>
        <w:rPr>
          <w:rFonts w:ascii="Times New Roman" w:hAnsi="Times New Roman"/>
          <w:b/>
          <w:u w:val="non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Vezmeme-li trojici prvků z červené množiny a přidáme po 1 do žluté, zelené i modré, dodržíme tím stálý součet 116 (velikost U) i vztahy znázorněné šipkami, tj. udržíme rozdíly mezi třemi nečervenými množinami.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Nějaký počet takových úkonů by měl stabilizovat diagram ve stavu, kdy L (červeno-žlutá množina) je 2x větší než Ch (zeleno-žlutá množina). Každé přesunutí trojice počet prvků v L sníží o 2 (sice 3 zmizí z červené, ale 1 se objeví ve žluté) a počet prvků v Ch zvýší o 2 (po 1 prvku se objeví v zelené a žluté, mizení z červené neřešíme).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Mimo jiné to znamená, že prostý součet Ch a L bude stále 156 (stav 2. i 3. diagramu je 40 + 156). Z původního poměru 40:116 se tedy potřebujeme přesunout „o 12“ do 52:104 (jedna třetina : dvě třetiny; ze 156 celkem). To uděláme 6 navýšeními Ch o 2 prvky, tedy 6 uvažovanými kroky s rozdělením červené trojice.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Ve výsledku odebíráme z červené oblasti 18 prvků, které po 6 rozdělíme do zelené, žluté a modré.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0600" cy="3072765"/>
            <wp:effectExtent l="0" t="0" r="0" b="0"/>
            <wp:wrapSquare wrapText="largest"/>
            <wp:docPr id="7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Tento diagram již perfektně splňuje zadání. Celkový počet zájezdů je 166. Leteckých zájezdů (104) je dvakrát více než chorvatských (52). Neleteckých zájezdů do Chorvatska je o 40 více než leteckých (46 proti 6) a neleteckých nechorvatských zájezdů je o 30 méně než neleteckých chorvatských zájezdů (16 proti 46).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Z diagramu již můžeme zodpovědět otázky úlohy.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52 (zelená a žlutá)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98 (červená, ale už ne modrá)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u w:val="single"/>
          <w:lang w:val="cs-CZ"/>
        </w:rPr>
      </w:pPr>
      <w:r>
        <w:rPr>
          <w:u w:val="single"/>
          <w:lang w:val="cs-CZ"/>
        </w:rPr>
      </w:r>
    </w:p>
    <w:p>
      <w:pPr>
        <w:pStyle w:val="Normal"/>
        <w:rPr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 w:eastAsia="cs-CZ"/>
        </w:rPr>
        <w:t xml:space="preserve">Vzorové řešení náročnější úlohy z předchozího úkolu – metoda 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u w:val="single"/>
          <w:lang w:val="cs-CZ" w:eastAsia="cs-CZ" w:bidi="hi-IN"/>
        </w:rPr>
        <w:t>rovnic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8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9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více než leteckých zájezdů do Chorvatska. 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10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Do úlohy vstupují množiny Ch (zájezdy do Chorvatska) a L (letecké zájezdy). Vennovy diagramy aplikujeme tak, že univerzální množinu 166 zájezdů rozdělíme do skupin: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ani do Chorvatska, ani letecký (doplněk sjednocení obou množin do univerzální množiny U, psáno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Ch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L</m:t>
            </m:r>
          </m:e>
        </m:d>
        <m:sSub>
          <m:e>
            <m:r>
              <w:rPr>
                <w:rFonts w:ascii="Cambria Math" w:hAnsi="Cambria Math"/>
              </w:rPr>
              <m:t xml:space="preserve">´</m:t>
            </m:r>
          </m:e>
          <m:sub>
            <m:r>
              <w:rPr>
                <w:rFonts w:ascii="Cambria Math" w:hAnsi="Cambria Math"/>
              </w:rPr>
              <m:t xml:space="preserve">U</m:t>
            </m:r>
          </m:sub>
        </m:sSub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vnitřek závorky značí sjednocení, čárka doplněk, index U vůči jaké množině) … modře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Chorvatska, ale ne letecký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zeleně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 a zároveň letecký (průnik množin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žlutě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letecký, ale ne do Chorvatska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Ch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>) … červeně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b w:val="false"/>
          <w:bCs w:val="false"/>
          <w:u w:val="none"/>
          <w:lang w:val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b w:val="false"/>
          <w:bCs w:val="false"/>
          <w:u w:val="none"/>
          <w:lang w:val="cs-CZ"/>
        </w:rP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11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Pro metodu rovnic bude výhodnější nahradit sledované oblasti takto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modrá … A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zelená … B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žlutá … C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červená … D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Odpověď na otázku a) zájezdů do Chorvatska je B + C 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Odpověď na otázku b) leteckých zájezdů 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mim</w:t>
      </w:r>
      <w:r>
        <w:rPr>
          <w:b w:val="false"/>
          <w:bCs w:val="false"/>
          <w:u w:val="none"/>
        </w:rPr>
        <w:t>o Chorvatsk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o</w:t>
      </w:r>
      <w:r>
        <w:rPr>
          <w:b w:val="false"/>
          <w:bCs w:val="false"/>
          <w:u w:val="none"/>
        </w:rPr>
        <w:t xml:space="preserve"> je D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Nyní již hledáme 4 kýžená písmena z diagramu, abychom jej měli přehledný a úplný.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12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poukazů na zahraniční zájezdy.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+ B + C + D = 166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Leteckých zájezdů bylo prodáno dvakrát víc než zájezdů do Chorvatska.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 + D = 2x(B + C) = 2B + 2C, po odečtení C z obou stran rovnice potom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D = 2B + C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13" name="Obrázek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více než leteckých zájezdů do Chorvatska.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C + 40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14" name="Obrázek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Oblast B se vyskytuje ve všech 4 rovnicích, pokusíme se každé další písmeno vyjádřit z B.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je hotové vyjádření.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C + 40 dává C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D = 2B + C = 2B + B – 40 = 3B – 40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Nyní se vrátíme k nejdelší 1. rovnici.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+ B + C + D = 166, kde tři zbylá písmena nahradíme jejich vyjádřením z B 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– 30 + B + 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 + 3B – 40 = 166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6B – 110 = 166     /+110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6B = 276       /:6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46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Odtud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= 46 – 30 = 16,     B = 46 (už máme)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 – 40 = 6,       D = 3B – 40 = 3x46 – 40 = 138 – 40 = 98.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Tomu odpovídá obrázek níže a odpovědi zní: 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Odpověď na otázku a): Zájezdů do Chorvatska je B + C = 46 + 6 = 52.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Odpověď </w:t>
      </w:r>
      <w: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614045</wp:posOffset>
            </wp:positionH>
            <wp:positionV relativeFrom="paragraph">
              <wp:posOffset>382905</wp:posOffset>
            </wp:positionV>
            <wp:extent cx="4800600" cy="3072765"/>
            <wp:effectExtent l="0" t="0" r="0" b="0"/>
            <wp:wrapSquare wrapText="largest"/>
            <wp:docPr id="15" name="Obrázek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n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otázku b):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L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eteckých zájezdů 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mim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o Chorvatsk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o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je D = 98.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Teoretické doplnění k množinám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Množiny podle počtu prvků </w:t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Konečné s konečným počtem prvků, např.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Times New Roman" w:hAnsi="Times New Roman"/>
          <w:lang w:val="cs-CZ"/>
        </w:rPr>
        <w:t xml:space="preserve"> (jednociferná (přirozená) lichá čísla). </w:t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Nekonečné s nekonečným početem prvků, např.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0,1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2,3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</m:e>
        </m:d>
      </m:oMath>
      <w:r>
        <w:rPr>
          <w:rFonts w:ascii="Times New Roman" w:hAnsi="Times New Roman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Dva způsoby zápisu množiny</w:t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Výčtem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(úplný výčet, množina převzatá z předchozího)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,8</m:t>
            </m:r>
            <m:r>
              <w:rPr>
                <w:rFonts w:ascii="Cambria Math" w:hAnsi="Cambria Math"/>
              </w:rPr>
              <m:t xml:space="preserve">,9</m:t>
            </m:r>
            <m:r>
              <w:rPr>
                <w:rFonts w:ascii="Cambria Math" w:hAnsi="Cambria Math"/>
              </w:rPr>
              <m:t xml:space="preserve">,10</m:t>
            </m:r>
          </m:e>
        </m:d>
      </m:oMath>
      <w:r>
        <w:rPr>
          <w:rFonts w:ascii="Times New Roman" w:hAnsi="Times New Roman"/>
          <w:lang w:val="cs-CZ"/>
        </w:rPr>
        <w:t xml:space="preserve">(neúplný výčet, nová množina celých čísel mezi -10 včetně a 10 včetně) </w:t>
      </w:r>
    </w:p>
    <w:p>
      <w:pPr>
        <w:pStyle w:val="Normal"/>
        <w:ind w:left="360" w:hanging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Charakteristickou vlastností (jiný zápis stejných množin)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lichá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10</m:t>
            </m:r>
          </m:e>
        </m:d>
      </m:oMath>
      <w:r>
        <w:rPr>
          <w:rFonts w:ascii="Times New Roman" w:hAnsi="Times New Roman"/>
          <w:lang w:val="cs-CZ"/>
        </w:rPr>
        <w:t xml:space="preserve">,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11</m:t>
            </m:r>
          </m:e>
        </m:d>
      </m:oMath>
      <w:r>
        <w:rPr>
          <w:rFonts w:ascii="Times New Roman" w:hAnsi="Times New Roman"/>
          <w:lang w:val="cs-CZ"/>
        </w:rPr>
        <w:t xml:space="preserve">. (zápis pomocí porovnání s -11 a 11) </w:t>
      </w:r>
    </w:p>
    <w:p>
      <w:pPr>
        <w:pStyle w:val="Normal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  <w:u w:val="single"/>
          <w:lang w:val="cs-CZ" w:eastAsia="cs-CZ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t xml:space="preserve">Podmnožina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Množina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podmnožinou množiny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, právě když každý prvek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zároveň prvkem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. Píšeme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i/>
          <w:iCs/>
          <w:lang w:val="cs-CZ" w:eastAsia="cs-CZ"/>
        </w:rPr>
        <w:t xml:space="preserve"> </w:t>
      </w:r>
      <w:r>
        <w:rPr>
          <w:rFonts w:ascii="Times New Roman" w:hAnsi="Times New Roman"/>
          <w:lang w:val="cs-CZ" w:eastAsia="cs-CZ"/>
        </w:rPr>
        <w:t xml:space="preserve">. (Značka připomíná zobáček mířící na menší číslo, čímž se to dobře pamatuje.)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 w:eastAsia="cs-CZ"/>
        </w:rPr>
        <w:t>Příklad podmnožiny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Máme-li množinu A – všechny druhy stromů a množinu B – všechny druhy rostlin, potom 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lang w:val="cs-CZ" w:eastAsia="cs-CZ"/>
        </w:rPr>
        <w:t xml:space="preserve">. Každý strom je i rostlinou. </w:t>
      </w:r>
    </w:p>
    <w:p>
      <w:pPr>
        <w:pStyle w:val="Normal"/>
        <w:rPr>
          <w:rFonts w:ascii="Times New Roman" w:hAnsi="Times New Roman"/>
          <w:sz w:val="18"/>
          <w:szCs w:val="18"/>
          <w:lang w:val="cs-CZ" w:eastAsia="cs-CZ"/>
        </w:rPr>
      </w:pPr>
      <w:r>
        <w:rPr>
          <w:rFonts w:ascii="Times New Roman" w:hAnsi="Times New Roman"/>
          <w:sz w:val="18"/>
          <w:szCs w:val="18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rFonts w:ascii="Times New Roman" w:hAnsi="Times New Roman"/>
          <w:sz w:val="18"/>
          <w:szCs w:val="18"/>
          <w:lang w:val="cs-CZ" w:eastAsia="cs-CZ"/>
        </w:rPr>
      </w:pPr>
      <w:r>
        <w:rPr>
          <w:rFonts w:ascii="Times New Roman" w:hAnsi="Times New Roman"/>
          <w:sz w:val="18"/>
          <w:szCs w:val="18"/>
          <w:lang w:val="cs-CZ" w:eastAsia="cs-CZ"/>
        </w:rPr>
      </w:r>
    </w:p>
    <w:p>
      <w:pPr>
        <w:pStyle w:val="Normal"/>
        <w:rPr>
          <w:rFonts w:ascii="Times New Roman" w:hAnsi="Times New Roman"/>
          <w:sz w:val="18"/>
          <w:szCs w:val="18"/>
          <w:u w:val="single"/>
          <w:lang w:val="cs-CZ" w:eastAsia="cs-CZ"/>
        </w:rPr>
      </w:pPr>
      <w:r>
        <w:rPr>
          <w:rFonts w:ascii="Times New Roman" w:hAnsi="Times New Roman"/>
          <w:sz w:val="18"/>
          <w:szCs w:val="18"/>
          <w:u w:val="single"/>
          <w:lang w:val="cs-CZ" w:eastAsia="cs-CZ"/>
        </w:rPr>
      </w:r>
    </w:p>
    <w:p>
      <w:pPr>
        <w:pStyle w:val="Normal"/>
        <w:rPr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d0c0d"/>
    <w:rPr>
      <w:b/>
      <w:sz w:val="28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pPr>
      <w:jc w:val="center"/>
    </w:pPr>
    <w:rPr>
      <w:b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jpeg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jpe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LibreOffice/7.0.1.2$Windows_X86_64 LibreOffice_project/7cbcfc562f6eb6708b5ff7d7397325de9e764452</Application>
  <Pages>10</Pages>
  <Words>1284</Words>
  <Characters>6149</Characters>
  <CharactersWithSpaces>7493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2021-01-24T18:56:57Z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