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Podobnost trojúhelníků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zh-CN" w:bidi="hi-IN"/>
        </w:rPr>
        <w:t>, na 23. 1. – 29.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Úloha 1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Stín věže je dlouhý 105 metrů a stín metrové tyče má v tutéž dobu délku 140 cm. Vypočtěte výšku věže. 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Úloha 2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Jak daleko od Kvída (Q) stojí dvoumetrový Karel (K)? Kvído (Q) se na Karla (K) dívá přes pravítko, které drží v natažené ruce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cs-CZ" w:eastAsia="en-US" w:bidi="ar-SA"/>
        </w:rPr>
        <w:t>7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0 cm od oka a na pravítku změřil Karlovu (K) výšku na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cs-CZ" w:eastAsia="en-US" w:bidi="ar-SA"/>
        </w:rPr>
        <w:t>35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cs-CZ" w:eastAsia="en-US" w:bidi="ar-SA"/>
        </w:rPr>
        <w:t>m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m.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shd w:fill="FFFFFF" w:val="clear"/>
        </w:rPr>
        <w:t>Bonus na goniometrické funkce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Pozorujeme-li vrchol moskevské vysílací věže Ostankino (nejvyšší stavba v Rusku a celé Evropě) ze vzdálenosti 3063 metrů od její paty, vidíme jej pod výškovým úhlem 10° (to znamená, že musíme hlavu jen velmi mírně naklonit nahoru). Spočtěte výšku této věže, zaokrouhlete na metry. Postup řádně zapište. 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protilehlá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ko</m:t>
          </m:r>
          <m:r>
            <w:rPr>
              <w:rFonts w:ascii="Cambria Math" w:hAnsi="Cambria Math"/>
            </w:rPr>
            <m:t xml:space="preserve">sinus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přepona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roti</m:t>
              </m:r>
              <m:r>
                <w:rPr>
                  <w:rFonts w:ascii="Cambria Math" w:hAnsi="Cambria Math"/>
                </w:rPr>
                <m:t xml:space="preserve">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ko</m:t>
          </m:r>
          <m:r>
            <w:rPr>
              <w:rFonts w:ascii="Cambria Math" w:hAnsi="Cambria Math"/>
            </w:rPr>
            <m:t xml:space="preserve">tangens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úhel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ř</m:t>
              </m:r>
              <m:r>
                <w:rPr>
                  <w:rFonts w:ascii="Cambria Math" w:hAnsi="Cambria Math"/>
                </w:rPr>
                <m:t xml:space="preserve">ilehlá</m:t>
              </m:r>
              <m:r>
                <w:rPr>
                  <w:rFonts w:ascii="Cambria Math" w:hAnsi="Cambria Math"/>
                </w:rPr>
                <m:t xml:space="preserve">odvěsna</m:t>
              </m:r>
            </m:num>
            <m:den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roti</m:t>
              </m:r>
              <m:r>
                <w:rPr>
                  <w:rFonts w:ascii="Cambria Math" w:hAnsi="Cambria Math"/>
                </w:rPr>
                <m:t xml:space="preserve">lehlá</m:t>
              </m:r>
              <m:r>
                <w:rPr>
                  <w:rFonts w:ascii="Cambria Math" w:hAnsi="Cambria Math"/>
                </w:rPr>
                <m:t xml:space="preserve">odvěsna</m:t>
              </m:r>
            </m:den>
          </m:f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uiPriority w:val="99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860F-822A-4C8E-BFFF-4854B63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1</Pages>
  <Words>121</Words>
  <Characters>576</Characters>
  <CharactersWithSpaces>695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2021-01-15T16:55:00Z</dcterms:created>
  <dc:creator>01</dc:creator>
  <dc:description/>
  <dc:language>cs-CZ</dc:language>
  <cp:lastModifiedBy/>
  <cp:lastPrinted>2018-10-04T14:06:00Z</cp:lastPrinted>
  <dcterms:modified xsi:type="dcterms:W3CDTF">2021-01-22T18:05:25Z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