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wmf" ContentType="image/x-wmf"/>
  <Override PartName="/word/media/image3.wmf" ContentType="image/x-wmf"/>
  <Override PartName="/word/media/image4.wmf" ContentType="image/x-wmf"/>
  <Override PartName="/word/media/image5.wmf" ContentType="image/x-wmf"/>
  <Override PartName="/word/media/image6.wmf" ContentType="image/x-wmf"/>
  <Override PartName="/word/media/image7.wmf" ContentType="image/x-wmf"/>
  <Override PartName="/word/media/image8.wmf" ContentType="image/x-wmf"/>
  <Override PartName="/word/media/image9.wmf" ContentType="image/x-wmf"/>
  <Override PartName="/word/media/image10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Úvod do logaritmů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 pro K2/MAT, na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13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 xml:space="preserve">. 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3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. – 1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9</w:t>
      </w:r>
      <w:r>
        <w:rPr>
          <w:rFonts w:cs="Times New Roman" w:ascii="Times New Roman" w:hAnsi="Times New Roman"/>
          <w:b/>
          <w:bCs/>
          <w:sz w:val="28"/>
          <w:szCs w:val="28"/>
          <w:u w:val="single"/>
          <w:lang w:val="cs-CZ"/>
        </w:rPr>
        <w:t>. 3. 2021</w:t>
      </w:r>
    </w:p>
    <w:p>
      <w:pPr>
        <w:pStyle w:val="Normal"/>
        <w:jc w:val="both"/>
        <w:rPr>
          <w:rFonts w:ascii="Times New Roman" w:hAnsi="Times New Roman"/>
          <w:b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</w:r>
    </w:p>
    <w:p>
      <w:pPr>
        <w:pStyle w:val="Normal"/>
        <w:jc w:val="left"/>
        <w:rPr>
          <w:rFonts w:ascii="Times New Roman" w:hAnsi="Times New Roman" w:cs="Times New Roman"/>
          <w:b/>
          <w:b/>
          <w:sz w:val="22"/>
          <w:szCs w:val="22"/>
          <w:u w:val="single"/>
          <w:lang w:val="cs-CZ"/>
        </w:rPr>
      </w:pPr>
      <w:r>
        <w:rPr/>
      </w:r>
      <m:oMathPara xmlns:m="http://schemas.openxmlformats.org/officeDocument/2006/math">
        <m:oMathParaPr>
          <m:jc m:val="left"/>
        </m:oMathParaPr>
        <m:oMath>
          <m:r>
            <w:rPr>
              <w:rFonts w:ascii="Cambria Math" w:hAnsi="Cambria Math"/>
            </w:rPr>
            <m:t xml:space="preserve">Vzorce</m:t>
          </m:r>
        </m:oMath>
      </m:oMathPara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⋯</m:t>
        </m:r>
        <m:r>
          <w:rPr>
            <w:rFonts w:ascii="Cambria Math" w:hAnsi="Cambria Math"/>
          </w:rPr>
          <m:t xml:space="preserve">∙</m:t>
        </m:r>
        <m:r>
          <w:rPr>
            <w:rFonts w:ascii="Cambria Math" w:hAnsi="Cambria Math"/>
          </w:rPr>
          <m:t xml:space="preserve">a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  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N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      (n – krát napíšeme číslo a, spočteme součin) </w:t>
      </w:r>
    </w:p>
    <w:p>
      <w:pPr>
        <w:pStyle w:val="Normal"/>
        <w:jc w:val="both"/>
        <w:rPr>
          <w:rFonts w:ascii="Times New Roman" w:hAnsi="Times New Roman" w:cs="Times New Roman"/>
          <w:b/>
          <w:b/>
          <w:sz w:val="22"/>
          <w:szCs w:val="22"/>
          <w:u w:val="single"/>
          <w:lang w:val="cs-CZ"/>
        </w:rPr>
      </w:pPr>
      <w:r>
        <w:rPr>
          <w:rFonts w:cs="Times New Roman" w:ascii="Times New Roman" w:hAnsi="Times New Roman"/>
          <w:b/>
          <w:sz w:val="22"/>
          <w:szCs w:val="22"/>
          <w:u w:val="single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0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       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r>
              <w:rPr>
                <w:rFonts w:ascii="Cambria Math" w:hAnsi="Cambria Math"/>
              </w:rPr>
              <m:t xml:space="preserve">−</m:t>
            </m:r>
            <m:r>
              <w:rPr>
                <w:rFonts w:ascii="Cambria Math" w:hAnsi="Cambria Math"/>
              </w:rPr>
              <m:t xml:space="preserve">n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n</m:t>
                </m:r>
              </m:sup>
            </m:sSup>
          </m:den>
        </m:f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  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n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N</m:t>
        </m:r>
      </m:oMath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cs="Times New Roman" w:ascii="Times New Roman" w:hAnsi="Times New Roman"/>
          <w:sz w:val="22"/>
          <w:szCs w:val="22"/>
          <w:lang w:val="cs-CZ"/>
        </w:rPr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  <w:lang w:val="cs-CZ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r</m:t>
                </m:r>
              </m:num>
              <m:den>
                <m:r>
                  <w:rPr>
                    <w:rFonts w:ascii="Cambria Math" w:hAnsi="Cambria Math"/>
                  </w:rPr>
                  <m:t xml:space="preserve">s</m:t>
                </m:r>
              </m:den>
            </m:f>
          </m:sup>
        </m:sSup>
        <m:r>
          <w:rPr>
            <w:rFonts w:ascii="Cambria Math" w:hAnsi="Cambria Math"/>
          </w:rPr>
          <m:t xml:space="preserve">=</m:t>
        </m:r>
        <m:rad>
          <m:deg>
            <m:r>
              <w:rPr>
                <w:rFonts w:ascii="Cambria Math" w:hAnsi="Cambria Math"/>
              </w:rPr>
              <m:t xml:space="preserve">s</m:t>
            </m:r>
          </m:deg>
          <m:e>
            <m:sSup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  <m:sup>
                <m:r>
                  <w:rPr>
                    <w:rFonts w:ascii="Cambria Math" w:hAnsi="Cambria Math"/>
                  </w:rPr>
                  <m:t xml:space="preserve">r</m:t>
                </m:r>
              </m:sup>
            </m:sSup>
          </m:e>
        </m:rad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    </w:t>
      </w:r>
      <w:r>
        <w:rPr>
          <w:rFonts w:cs="Times New Roman" w:ascii="Times New Roman" w:hAnsi="Times New Roman"/>
          <w:sz w:val="22"/>
          <w:szCs w:val="22"/>
          <w:lang w:val="cs-CZ"/>
        </w:rPr>
        <w:t xml:space="preserve">pro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a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0</m:t>
        </m:r>
        <m:r>
          <w:rPr>
            <w:rFonts w:ascii="Cambria Math" w:hAnsi="Cambria Math"/>
          </w:rPr>
          <m:t xml:space="preserve">≠</m:t>
        </m:r>
        <m:r>
          <w:rPr>
            <w:rFonts w:ascii="Cambria Math" w:hAnsi="Cambria Math"/>
          </w:rPr>
          <m:t xml:space="preserve">s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  <w:r>
        <w:rPr>
          <w:rFonts w:cs="Times New Roman" w:ascii="Times New Roman" w:hAnsi="Times New Roman"/>
          <w:sz w:val="22"/>
          <w:szCs w:val="22"/>
          <w:lang w:val="cs-CZ"/>
        </w:rPr>
        <w:t xml:space="preserve">, </w:t>
      </w:r>
      <w:r>
        <w:rPr/>
      </w:r>
      <m:oMath xmlns:m="http://schemas.openxmlformats.org/officeDocument/2006/math">
        <m:r>
          <w:rPr>
            <w:rFonts w:ascii="Cambria Math" w:hAnsi="Cambria Math"/>
          </w:rPr>
          <m:t xml:space="preserve">r</m:t>
        </m:r>
        <m:r>
          <w:rPr>
            <w:rFonts w:ascii="Cambria Math" w:hAnsi="Cambria Math"/>
          </w:rPr>
          <m:t xml:space="preserve">∈</m:t>
        </m:r>
        <m:r>
          <w:rPr>
            <w:rFonts w:ascii="Cambria Math" w:hAnsi="Cambria Math"/>
          </w:rPr>
          <m:t xml:space="preserve">R</m:t>
        </m:r>
      </m:oMath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=</m:t>
        </m:r>
        <m:rad>
          <m:radPr>
            <m:degHide m:val="1"/>
          </m:radPr>
          <m:deg/>
          <m:e>
            <m:r>
              <w:rPr>
                <w:rFonts w:ascii="Cambria Math" w:hAnsi="Cambria Math"/>
              </w:rPr>
              <m:t xml:space="preserve">a</m:t>
            </m:r>
          </m:e>
        </m:rad>
      </m:oMath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/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a</m:t>
            </m:r>
          </m:e>
          <m:sup>
            <m:f>
              <m:num>
                <m:r>
                  <w:rPr>
                    <w:rFonts w:ascii="Cambria Math" w:hAnsi="Cambria Math"/>
                  </w:rPr>
                  <m:t xml:space="preserve">−</m:t>
                </m:r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2</m:t>
                </m:r>
              </m:den>
            </m:f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rad>
          </m:den>
        </m:f>
        <m:r>
          <w:rPr>
            <w:rFonts w:ascii="Cambria Math" w:hAnsi="Cambria Math"/>
          </w:rPr>
          <m:t xml:space="preserve">=</m:t>
        </m:r>
        <m:f>
          <m:num>
            <m:rad>
              <m:radPr>
                <m:degHide m:val="1"/>
              </m:radPr>
              <m:deg/>
              <m:e>
                <m:r>
                  <w:rPr>
                    <w:rFonts w:ascii="Cambria Math" w:hAnsi="Cambria Math"/>
                  </w:rPr>
                  <m:t xml:space="preserve">a</m:t>
                </m:r>
              </m:e>
            </m:rad>
          </m:num>
          <m:den>
            <m:r>
              <w:rPr>
                <w:rFonts w:ascii="Cambria Math" w:hAnsi="Cambria Math"/>
              </w:rPr>
              <m:t xml:space="preserve">a</m:t>
            </m:r>
          </m:den>
        </m:f>
      </m:oMath>
      <w:r>
        <w:rPr>
          <w:rFonts w:ascii="Times New Roman" w:hAnsi="Times New Roman"/>
          <w:sz w:val="22"/>
          <w:szCs w:val="22"/>
        </w:rPr>
        <w:t xml:space="preserve"> 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b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</w:r>
    </w:p>
    <w:p>
      <w:pPr>
        <w:pStyle w:val="Normal"/>
        <w:rPr>
          <w:rFonts w:ascii="Times New Roman" w:hAnsi="Times New Roman"/>
          <w:b/>
          <w:b/>
          <w:sz w:val="20"/>
          <w:szCs w:val="20"/>
          <w:lang w:val="cs-CZ"/>
        </w:rPr>
      </w:pPr>
      <w:r>
        <w:rPr/>
      </w:r>
    </w:p>
    <w:p>
      <w:pPr>
        <w:pStyle w:val="Normal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 xml:space="preserve">1) </w:t>
      </w: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>Řešte příklady</w:t>
      </w:r>
      <w:r>
        <w:rPr>
          <w:rFonts w:ascii="Times New Roman" w:hAnsi="Times New Roman"/>
          <w:sz w:val="20"/>
          <w:szCs w:val="20"/>
          <w:lang w:val="cs-CZ"/>
        </w:rPr>
        <w:t xml:space="preserve">  </w:t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/>
          <w:sz w:val="20"/>
          <w:szCs w:val="20"/>
          <w:lang w:val="cs-CZ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4</m:t>
            </m:r>
          </m:sub>
        </m:sSub>
        <m:r>
          <w:rPr>
            <w:rFonts w:ascii="Cambria Math" w:hAnsi="Cambria Math"/>
          </w:rPr>
          <m:t xml:space="preserve">16</m:t>
        </m:r>
        <m:r>
          <w:rPr>
            <w:rFonts w:ascii="Cambria Math" w:hAnsi="Cambria Math"/>
          </w:rPr>
          <m:t xml:space="preserve">=</m:t>
        </m:r>
      </m:oMath>
      <w:r>
        <w:rPr/>
        <w:t xml:space="preserve">    </w:t>
      </w:r>
      <w:r>
        <w:rPr/>
        <w:t xml:space="preserve">(tzn. vyčíslete řešení rovnice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4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16</m:t>
        </m:r>
      </m:oMath>
      <w:r>
        <w:rPr/>
        <w:t xml:space="preserve">) </w:t>
      </w:r>
    </w:p>
    <w:p>
      <w:pPr>
        <w:pStyle w:val="ListParagraph"/>
        <w:suppressAutoHyphens w:val="false"/>
        <w:ind w:hanging="0"/>
        <w:rPr/>
      </w:pPr>
      <w:r>
        <w:rPr/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/>
          <w:sz w:val="20"/>
          <w:szCs w:val="20"/>
          <w:lang w:val="cs-CZ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5</m:t>
            </m:r>
          </m:sub>
        </m:sSub>
        <m:d>
          <m:dPr>
            <m:begChr m:val="("/>
            <m:endChr m:val=")"/>
          </m:dPr>
          <m:e>
            <m:f>
              <m:num>
                <m:r>
                  <w:rPr>
                    <w:rFonts w:ascii="Cambria Math" w:hAnsi="Cambria Math"/>
                  </w:rPr>
                  <m:t xml:space="preserve">1</m:t>
                </m:r>
              </m:num>
              <m:den>
                <m:r>
                  <w:rPr>
                    <w:rFonts w:ascii="Cambria Math" w:hAnsi="Cambria Math"/>
                  </w:rPr>
                  <m:t xml:space="preserve">625</m:t>
                </m:r>
              </m:den>
            </m:f>
          </m:e>
        </m:d>
        <m:r>
          <w:rPr>
            <w:rFonts w:ascii="Cambria Math" w:hAnsi="Cambria Math"/>
          </w:rPr>
          <m:t xml:space="preserve">=</m:t>
        </m:r>
      </m:oMath>
      <w:r>
        <w:rPr/>
        <w:t xml:space="preserve">    </w:t>
      </w:r>
      <w:r>
        <w:rPr/>
        <w:t xml:space="preserve">(tzn. vyčíslete řešení rovnice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5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f>
          <m:num>
            <m:r>
              <w:rPr>
                <w:rFonts w:ascii="Cambria Math" w:hAnsi="Cambria Math"/>
              </w:rPr>
              <m:t xml:space="preserve">1</m:t>
            </m:r>
          </m:num>
          <m:den>
            <m:r>
              <w:rPr>
                <w:rFonts w:ascii="Cambria Math" w:hAnsi="Cambria Math"/>
              </w:rPr>
              <m:t xml:space="preserve">625</m:t>
            </m:r>
          </m:den>
        </m:f>
      </m:oMath>
      <w:r>
        <w:rPr/>
        <w:t xml:space="preserve">) </w:t>
      </w:r>
    </w:p>
    <w:p>
      <w:pPr>
        <w:pStyle w:val="ListParagraph"/>
        <w:numPr>
          <w:ilvl w:val="0"/>
          <w:numId w:val="0"/>
        </w:numPr>
        <w:suppressAutoHyphens w:val="false"/>
        <w:ind w:left="1440" w:hanging="0"/>
        <w:rPr>
          <w:rFonts w:ascii="Times New Roman" w:hAnsi="Times New Roman"/>
          <w:sz w:val="20"/>
          <w:szCs w:val="20"/>
          <w:lang w:val="cs-CZ"/>
        </w:rPr>
      </w:pPr>
      <w:r>
        <w:rPr/>
      </w:r>
    </w:p>
    <w:p>
      <w:pPr>
        <w:pStyle w:val="ListParagraph"/>
        <w:numPr>
          <w:ilvl w:val="0"/>
          <w:numId w:val="1"/>
        </w:numPr>
        <w:suppressAutoHyphens w:val="false"/>
        <w:rPr>
          <w:rFonts w:ascii="Times New Roman" w:hAnsi="Times New Roman"/>
          <w:sz w:val="20"/>
          <w:szCs w:val="20"/>
          <w:lang w:val="cs-CZ"/>
        </w:rPr>
      </w:pPr>
      <w:r>
        <w:rPr/>
      </w:r>
      <m:oMath xmlns:m="http://schemas.openxmlformats.org/officeDocument/2006/math">
        <m:sSub>
          <m:e>
            <m:r>
              <w:rPr>
                <w:rFonts w:ascii="Cambria Math" w:hAnsi="Cambria Math"/>
              </w:rPr>
              <m:t xml:space="preserve">log</m:t>
            </m:r>
          </m:e>
          <m:sub>
            <m:r>
              <w:rPr>
                <w:rFonts w:ascii="Cambria Math" w:hAnsi="Cambria Math"/>
              </w:rPr>
              <m:t xml:space="preserve">6</m:t>
            </m:r>
          </m:sub>
        </m:sSub>
        <m:r>
          <w:rPr>
            <w:rFonts w:ascii="Cambria Math" w:hAnsi="Cambria Math"/>
          </w:rPr>
          <m:t xml:space="preserve">1</m:t>
        </m:r>
        <m:r>
          <w:rPr>
            <w:rFonts w:ascii="Cambria Math" w:hAnsi="Cambria Math"/>
          </w:rPr>
          <m:t xml:space="preserve">=</m:t>
        </m:r>
      </m:oMath>
      <w:r>
        <w:rPr/>
        <w:t xml:space="preserve">      </w:t>
      </w:r>
      <w:r>
        <w:rPr/>
        <w:t xml:space="preserve">(tzn. vyčíslete řešení rovnice </w:t>
      </w:r>
      <w:r>
        <w:rPr/>
      </w:r>
      <m:oMath xmlns:m="http://schemas.openxmlformats.org/officeDocument/2006/math">
        <m:sSup>
          <m:e>
            <m:r>
              <w:rPr>
                <w:rFonts w:ascii="Cambria Math" w:hAnsi="Cambria Math"/>
              </w:rPr>
              <m:t xml:space="preserve">6</m:t>
            </m:r>
          </m:e>
          <m:sup>
            <m:r>
              <w:rPr>
                <w:rFonts w:ascii="Cambria Math" w:hAnsi="Cambria Math"/>
              </w:rPr>
              <m:t xml:space="preserve">x</m:t>
            </m:r>
          </m:sup>
        </m:sSup>
        <m:r>
          <w:rPr>
            <w:rFonts w:ascii="Cambria Math" w:hAnsi="Cambria Math"/>
          </w:rPr>
          <m:t xml:space="preserve">=</m:t>
        </m:r>
        <m:r>
          <w:rPr>
            <w:rFonts w:ascii="Cambria Math" w:hAnsi="Cambria Math"/>
          </w:rPr>
          <m:t xml:space="preserve">1</m:t>
        </m:r>
      </m:oMath>
      <w:r>
        <w:rPr/>
        <w:t xml:space="preserve">) </w:t>
      </w:r>
    </w:p>
    <w:p>
      <w:pPr>
        <w:pStyle w:val="ListParagraph"/>
        <w:suppressAutoHyphens w:val="false"/>
        <w:rPr>
          <w:rFonts w:ascii="Times New Roman" w:hAnsi="Times New Roman"/>
          <w:sz w:val="20"/>
          <w:szCs w:val="20"/>
          <w:lang w:val="cs-CZ"/>
        </w:rPr>
      </w:pPr>
      <w:r>
        <w:rPr/>
      </w:r>
    </w:p>
    <w:p>
      <w:pPr>
        <w:pStyle w:val="ListParagraph"/>
        <w:suppressAutoHyphens w:val="false"/>
        <w:rPr>
          <w:rFonts w:ascii="Times New Roman" w:hAnsi="Times New Roman"/>
          <w:sz w:val="20"/>
          <w:szCs w:val="20"/>
          <w:lang w:val="cs-CZ"/>
        </w:rPr>
      </w:pPr>
      <w:r>
        <w:rPr/>
      </w:r>
    </w:p>
    <w:p>
      <w:pPr>
        <w:pStyle w:val="ListParagraph"/>
        <w:numPr>
          <w:ilvl w:val="0"/>
          <w:numId w:val="0"/>
        </w:numPr>
        <w:suppressAutoHyphens w:val="false"/>
        <w:ind w:left="720" w:hanging="0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 xml:space="preserve">2) </w:t>
      </w: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>Spočtěte následující trojice příkladů</w:t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0"/>
          <w:szCs w:val="20"/>
          <w:lang w:val="cs-CZ"/>
        </w:rPr>
      </w:pPr>
      <w:r>
        <w:rPr/>
        <w:drawing>
          <wp:inline distT="0" distB="0" distL="0" distR="0">
            <wp:extent cx="533400" cy="219075"/>
            <wp:effectExtent l="0" t="0" r="0" b="0"/>
            <wp:docPr id="1" name="Obrázek 3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3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cs-CZ"/>
        </w:rPr>
        <w:t xml:space="preserve">                                                                        </w:t>
      </w:r>
      <w:r>
        <w:rPr/>
        <w:drawing>
          <wp:inline distT="0" distB="0" distL="0" distR="0">
            <wp:extent cx="561975" cy="390525"/>
            <wp:effectExtent l="0" t="0" r="0" b="0"/>
            <wp:docPr id="2" name="Obrázek 3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3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0"/>
          <w:szCs w:val="20"/>
          <w:lang w:val="cs-CZ"/>
        </w:rPr>
      </w:pPr>
      <w:r>
        <w:rPr/>
        <w:drawing>
          <wp:inline distT="0" distB="0" distL="0" distR="0">
            <wp:extent cx="600075" cy="219075"/>
            <wp:effectExtent l="0" t="0" r="0" b="0"/>
            <wp:docPr id="3" name="Obrázek 3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cs-CZ"/>
        </w:rPr>
        <w:t xml:space="preserve">                                                                        </w:t>
      </w:r>
      <w:r>
        <w:rPr/>
        <w:drawing>
          <wp:inline distT="0" distB="0" distL="0" distR="0">
            <wp:extent cx="609600" cy="228600"/>
            <wp:effectExtent l="0" t="0" r="0" b="0"/>
            <wp:docPr id="4" name="Obrázek 29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29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sz w:val="20"/>
          <w:szCs w:val="20"/>
          <w:lang w:val="cs-CZ"/>
        </w:rPr>
      </w:pPr>
      <w:r>
        <w:rPr/>
        <w:drawing>
          <wp:inline distT="0" distB="0" distL="0" distR="0">
            <wp:extent cx="828675" cy="219075"/>
            <wp:effectExtent l="0" t="0" r="0" b="0"/>
            <wp:docPr id="5" name="Obrázek 2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28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cs-CZ"/>
        </w:rPr>
        <w:t xml:space="preserve">                                                             </w:t>
      </w:r>
      <w:r>
        <w:rPr/>
        <w:drawing>
          <wp:inline distT="0" distB="0" distL="0" distR="0">
            <wp:extent cx="914400" cy="428625"/>
            <wp:effectExtent l="0" t="0" r="0" b="0"/>
            <wp:docPr id="6" name="Obrázek 2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27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numPr>
          <w:ilvl w:val="0"/>
          <w:numId w:val="0"/>
        </w:numPr>
        <w:ind w:left="720" w:hanging="0"/>
        <w:rPr>
          <w:rFonts w:ascii="Times New Roman" w:hAnsi="Times New Roman"/>
          <w:sz w:val="20"/>
          <w:szCs w:val="20"/>
          <w:lang w:val="cs-CZ"/>
        </w:rPr>
      </w:pPr>
      <w:r>
        <w:rPr/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rFonts w:ascii="Times New Roman" w:hAnsi="Times New Roman"/>
          <w:sz w:val="20"/>
          <w:szCs w:val="20"/>
          <w:lang w:val="cs-CZ"/>
        </w:rPr>
      </w:pPr>
      <w:r>
        <w:rPr>
          <w:b/>
          <w:bCs/>
          <w:u w:val="single"/>
        </w:rPr>
      </w:r>
    </w:p>
    <w:p>
      <w:pPr>
        <w:pStyle w:val="Normal"/>
        <w:numPr>
          <w:ilvl w:val="0"/>
          <w:numId w:val="0"/>
        </w:numPr>
        <w:ind w:left="720" w:hanging="0"/>
        <w:jc w:val="left"/>
        <w:rPr>
          <w:b/>
          <w:b/>
          <w:bCs/>
          <w:u w:val="single"/>
        </w:rPr>
      </w:pP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 xml:space="preserve">3) </w:t>
      </w:r>
      <w:r>
        <w:rPr>
          <w:rFonts w:ascii="Times New Roman" w:hAnsi="Times New Roman"/>
          <w:b/>
          <w:bCs/>
          <w:sz w:val="20"/>
          <w:szCs w:val="20"/>
          <w:u w:val="single"/>
          <w:lang w:val="cs-CZ"/>
        </w:rPr>
        <w:t xml:space="preserve">Jaké pravidlo platí pro logaritmus součinu? (Dobře se podívejte na předchozí výpočty.) </w:t>
      </w:r>
    </w:p>
    <w:p>
      <w:pPr>
        <w:pStyle w:val="Normal"/>
        <w:numPr>
          <w:ilvl w:val="0"/>
          <w:numId w:val="0"/>
        </w:numPr>
        <w:suppressAutoHyphens w:val="false"/>
        <w:ind w:left="720" w:hanging="0"/>
        <w:rPr>
          <w:rFonts w:ascii="Times New Roman" w:hAnsi="Times New Roman"/>
          <w:sz w:val="20"/>
          <w:szCs w:val="20"/>
          <w:lang w:val="cs-CZ"/>
        </w:rPr>
      </w:pPr>
      <w:r>
        <w:rPr/>
        <w:t xml:space="preserve">a) </w:t>
      </w:r>
      <w:r>
        <w:rPr/>
        <w:drawing>
          <wp:inline distT="0" distB="0" distL="0" distR="0">
            <wp:extent cx="1685925" cy="228600"/>
            <wp:effectExtent l="0" t="0" r="0" b="0"/>
            <wp:docPr id="7" name="Obrázek 2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26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cs-CZ"/>
        </w:rPr>
        <w:t xml:space="preserve">    b) </w:t>
      </w:r>
      <w:r>
        <w:rPr/>
        <w:drawing>
          <wp:inline distT="0" distB="0" distL="0" distR="0">
            <wp:extent cx="1762125" cy="228600"/>
            <wp:effectExtent l="0" t="0" r="0" b="0"/>
            <wp:docPr id="8" name="Obrázek 2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25" descr="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cs-CZ"/>
        </w:rPr>
        <w:t xml:space="preserve">  </w:t>
      </w:r>
    </w:p>
    <w:p>
      <w:pPr>
        <w:pStyle w:val="Normal"/>
        <w:numPr>
          <w:ilvl w:val="0"/>
          <w:numId w:val="0"/>
        </w:numPr>
        <w:suppressAutoHyphens w:val="false"/>
        <w:ind w:left="2160" w:hanging="0"/>
        <w:rPr>
          <w:rFonts w:ascii="Times New Roman" w:hAnsi="Times New Roman"/>
          <w:sz w:val="20"/>
          <w:szCs w:val="20"/>
          <w:lang w:val="cs-CZ"/>
        </w:rPr>
      </w:pPr>
      <w:r>
        <w:rPr>
          <w:rFonts w:ascii="Times New Roman" w:hAnsi="Times New Roman"/>
          <w:sz w:val="20"/>
          <w:szCs w:val="20"/>
          <w:lang w:val="cs-CZ"/>
        </w:rPr>
        <w:t xml:space="preserve">              </w:t>
      </w:r>
      <w:r>
        <w:rPr>
          <w:rFonts w:ascii="Times New Roman" w:hAnsi="Times New Roman"/>
          <w:sz w:val="20"/>
          <w:szCs w:val="20"/>
          <w:lang w:val="cs-CZ"/>
        </w:rPr>
        <w:t xml:space="preserve">c) </w:t>
      </w:r>
      <w:r>
        <w:rPr/>
        <w:drawing>
          <wp:inline distT="0" distB="0" distL="0" distR="0">
            <wp:extent cx="1762125" cy="228600"/>
            <wp:effectExtent l="0" t="0" r="0" b="0"/>
            <wp:docPr id="9" name="Obrázek 2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Obrázek 24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  <w:szCs w:val="20"/>
          <w:lang w:val="cs-CZ"/>
        </w:rPr>
        <w:t xml:space="preserve">     d) </w:t>
      </w:r>
      <w:r>
        <w:rPr/>
        <w:drawing>
          <wp:inline distT="0" distB="0" distL="0" distR="0">
            <wp:extent cx="1152525" cy="419100"/>
            <wp:effectExtent l="0" t="0" r="0" b="0"/>
            <wp:docPr id="10" name="Obrázek 2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23" descr="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suppressAutoHyphens w:val="false"/>
        <w:ind w:hanging="0"/>
        <w:jc w:val="both"/>
        <w:rPr/>
      </w:pPr>
      <w:r>
        <w:rPr/>
      </w:r>
    </w:p>
    <w:p>
      <w:pPr>
        <w:pStyle w:val="ListParagraph"/>
        <w:suppressAutoHyphens w:val="false"/>
        <w:spacing w:before="0" w:after="160"/>
        <w:ind w:hanging="0"/>
        <w:contextualSpacing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384"/>
  <w:autoHyphenation w:val="true"/>
  <w:compat>
    <w:compatSetting w:name="compatibilityMode" w:uri="http://schemas.microsoft.com/office/word" w:val="12"/>
  </w:compat>
  <w:hyphenationZone w:val="425"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laceholderText">
    <w:name w:val="Placeholder Text"/>
    <w:basedOn w:val="DefaultParagraphFont"/>
    <w:uiPriority w:val="99"/>
    <w:semiHidden/>
    <w:qFormat/>
    <w:rsid w:val="00d527d6"/>
    <w:rPr>
      <w:color w:val="808080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/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 w:customStyle="1">
    <w:name w:val="Rejstřík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Obsahtabulky" w:customStyle="1">
    <w:name w:val="Obsah tabulky"/>
    <w:basedOn w:val="Normal"/>
    <w:qFormat/>
    <w:pPr>
      <w:widowControl w:val="false"/>
      <w:suppressLineNumbers/>
    </w:pPr>
    <w:rPr/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paragraph" w:styleId="Nadpistabulky" w:customStyle="1">
    <w:name w:val="Nadpis tabulky"/>
    <w:basedOn w:val="Obsahtabulky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44537"/>
    <w:pPr>
      <w:jc w:val="center"/>
    </w:pPr>
    <w:rPr>
      <w:rFonts w:asciiTheme="minorHAnsi" w:hAnsiTheme="minorHAnsi" w:eastAsiaTheme="minorHAnsi" w:cstheme="minorBidi"/>
      <w:lang w:val="cs-CZ" w:eastAsia="en-US" w:bidi="ar-SA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image" Target="media/image3.wmf"/><Relationship Id="rId5" Type="http://schemas.openxmlformats.org/officeDocument/2006/relationships/image" Target="media/image4.wmf"/><Relationship Id="rId6" Type="http://schemas.openxmlformats.org/officeDocument/2006/relationships/image" Target="media/image5.wmf"/><Relationship Id="rId7" Type="http://schemas.openxmlformats.org/officeDocument/2006/relationships/image" Target="media/image6.wmf"/><Relationship Id="rId8" Type="http://schemas.openxmlformats.org/officeDocument/2006/relationships/image" Target="media/image7.wmf"/><Relationship Id="rId9" Type="http://schemas.openxmlformats.org/officeDocument/2006/relationships/image" Target="media/image8.wmf"/><Relationship Id="rId10" Type="http://schemas.openxmlformats.org/officeDocument/2006/relationships/image" Target="media/image9.wmf"/><Relationship Id="rId11" Type="http://schemas.openxmlformats.org/officeDocument/2006/relationships/image" Target="media/image10.wmf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FC49D-FA5A-4A31-8D57-0E501FDFB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Application>LibreOffice/7.0.1.2$Windows_X86_64 LibreOffice_project/7cbcfc562f6eb6708b5ff7d7397325de9e764452</Application>
  <Pages>1</Pages>
  <Words>72</Words>
  <Characters>327</Characters>
  <CharactersWithSpaces>670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2017-10-20T23:40:00Z</dcterms:created>
  <dc:creator/>
  <dc:description/>
  <dc:language>cs-CZ</dc:language>
  <cp:lastModifiedBy/>
  <dcterms:modified xsi:type="dcterms:W3CDTF">2021-03-12T19:05:14Z</dcterms:modified>
  <cp:revision>122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