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Kombinace a kombinační čísla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na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13. 3. – 19. 3.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b/>
          <w:bCs/>
          <w:u w:val="none"/>
          <w:lang w:val="cs-CZ"/>
        </w:rPr>
        <w:t>Obsah</w:t>
      </w:r>
    </w:p>
    <w:p>
      <w:pPr>
        <w:pStyle w:val="Normal"/>
        <w:jc w:val="both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>1) Vzorec</w:t>
      </w:r>
    </w:p>
    <w:p>
      <w:pPr>
        <w:pStyle w:val="Normal"/>
        <w:jc w:val="both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>2) Úloha</w:t>
      </w:r>
    </w:p>
    <w:p>
      <w:pPr>
        <w:pStyle w:val="Normal"/>
        <w:jc w:val="both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>3) Vzorové řešení</w:t>
      </w:r>
    </w:p>
    <w:p>
      <w:pPr>
        <w:pStyle w:val="Normal"/>
        <w:jc w:val="both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>4) Bonusové povídání + bonusové příklady</w:t>
      </w:r>
    </w:p>
    <w:p>
      <w:pPr>
        <w:pStyle w:val="Normal"/>
        <w:jc w:val="both"/>
        <w:rPr>
          <w:b w:val="false"/>
          <w:b w:val="false"/>
          <w:bCs w:val="false"/>
          <w:u w:val="none"/>
          <w:lang w:val="cs-CZ"/>
        </w:rPr>
      </w:pPr>
      <w:r>
        <w:rPr>
          <w:rFonts w:ascii="Times New Roman" w:hAnsi="Times New Roman"/>
          <w:b w:val="false"/>
          <w:bCs w:val="false"/>
          <w:u w:val="none"/>
          <w:lang w:val="cs-CZ"/>
        </w:rPr>
        <w:t xml:space="preserve">5) Soupis starších vzorců </w:t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Kombinace (bez opakování)</w:t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Kombinace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-té třídy na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prvcích je neuspořádaná (*) </w:t>
      </w:r>
      <w:r>
        <w:rPr>
          <w:rFonts w:ascii="Times New Roman" w:hAnsi="Times New Roman"/>
          <w:i/>
          <w:lang w:val="cs-CZ"/>
        </w:rPr>
        <w:t>k-tice</w:t>
      </w:r>
      <w:r>
        <w:rPr>
          <w:rFonts w:ascii="Times New Roman" w:hAnsi="Times New Roman"/>
          <w:lang w:val="cs-CZ"/>
        </w:rPr>
        <w:t xml:space="preserve"> vybraná z těchto prvků tak, že každý se v ní vyskytuje nejvýše jednou. </w:t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(Existují také kombinace s opakováním, kde není omezení na jeden výskyt prvku. Nejsou součástí tematického plánu. Ani nebývají předmětem státních maturit z matematiky.) </w:t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(*) Pojem neuspořádaná naznačuje, že nezáleží na pořadí prvků, jen na jejich zařazení do výběru. </w:t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Počet kombinací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-té třídy na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prvcích vyplývá (dosti krkolomně) z kombinatorického pravidla součinu a odpovídá vzorci: </w:t>
      </w:r>
    </w:p>
    <w:p>
      <w:pPr>
        <w:pStyle w:val="Normal"/>
        <w:jc w:val="center"/>
        <w:rPr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C</m:t>
              </m:r>
            </m:e>
            <m:sub>
              <m:r>
                <w:rPr>
                  <w:rFonts w:ascii="Cambria Math" w:hAnsi="Cambria Math"/>
                </w:rPr>
                <m:t xml:space="preserve">k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</m:e>
          </m:d>
          <m:r>
            <w:rPr>
              <w:rFonts w:ascii="Cambria Math" w:hAnsi="Cambria Math"/>
            </w:rPr>
            <m:t xml:space="preserve">=</m:t>
          </m:r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k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!</m:t>
              </m:r>
            </m:num>
            <m:den>
              <m:r>
                <w:rPr>
                  <w:rFonts w:ascii="Cambria Math" w:hAnsi="Cambria Math"/>
                </w:rPr>
                <m:t xml:space="preserve">k</m:t>
              </m:r>
              <m:r>
                <w:rPr>
                  <w:rFonts w:ascii="Cambria Math" w:hAnsi="Cambria Math"/>
                </w:rPr>
                <m:t xml:space="preserve">!</m:t>
              </m:r>
              <m:r>
                <w:rPr>
                  <w:rFonts w:ascii="Cambria Math" w:hAnsi="Cambria Math"/>
                </w:rPr>
                <m:t xml:space="preserve">∙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d>
              <m:r>
                <w:rPr>
                  <w:rFonts w:ascii="Cambria Math" w:hAnsi="Cambria Math"/>
                </w:rPr>
                <m:t xml:space="preserve">!</m:t>
              </m:r>
            </m:den>
          </m:f>
        </m:oMath>
      </m:oMathPara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Značku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mr>
            </m:m>
          </m:e>
        </m:d>
      </m:oMath>
      <w:r>
        <w:rPr>
          <w:rFonts w:eastAsia="" w:cs="Times New Roman" w:ascii="Times New Roman" w:hAnsi="Times New Roman" w:eastAsiaTheme="minorEastAsia"/>
          <w:lang w:val="cs-CZ"/>
        </w:rPr>
        <w:t xml:space="preserve"> čteme „n nad k“ a je vhodné si její vzorec dobře zapamatovat, odvozování úloh přes kombinatorické pravidlo součinu bývá zdlouhavé.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/>
        </w:rPr>
      </w:r>
    </w:p>
    <w:p>
      <w:pPr>
        <w:pStyle w:val="Pedformtovantext"/>
        <w:rPr>
          <w:rFonts w:ascii="Times New Roman" w:hAnsi="Times New Roman"/>
          <w:b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</w:r>
    </w:p>
    <w:p>
      <w:pPr>
        <w:pStyle w:val="Pedformtovantext"/>
        <w:rPr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cs-CZ"/>
        </w:rPr>
        <w:t>Kombinační úloha k vypracování</w:t>
      </w:r>
      <w:r>
        <w:rPr>
          <w:rFonts w:ascii="Times New Roman" w:hAnsi="Times New Roman"/>
          <w:color w:val="000000"/>
          <w:sz w:val="32"/>
          <w:szCs w:val="32"/>
          <w:lang w:val="cs-CZ"/>
        </w:rPr>
        <w:t xml:space="preserve"> </w:t>
      </w:r>
    </w:p>
    <w:p>
      <w:pPr>
        <w:pStyle w:val="Pedformtovantext"/>
        <w:rPr>
          <w:rFonts w:ascii="Times New Roman" w:hAnsi="Times New Roman" w:eastAsia="NSimSun" w:cs="Liberation Mono"/>
          <w:color w:val="000000"/>
          <w:sz w:val="32"/>
          <w:szCs w:val="32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32"/>
          <w:szCs w:val="32"/>
          <w:lang w:val="cs-CZ" w:eastAsia="zh-CN" w:bidi="hi-IN"/>
        </w:rPr>
      </w:r>
    </w:p>
    <w:p>
      <w:pPr>
        <w:pStyle w:val="Pedformtovantext"/>
        <w:rPr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cs-CZ"/>
        </w:rPr>
        <w:t>Na jídelním lístku je 12 druhů jídel. Kolika způsoby můžeme vybrat 4 různá jídla do denního menu? (Použijte kombinaci, na přesném pořadí jídel v lístku nezáleží.)</w:t>
      </w:r>
    </w:p>
    <w:p>
      <w:pPr>
        <w:pStyle w:val="Pedformtovantex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Pedformtovantex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Pedformtovantext"/>
        <w:rPr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Nápověda: Kombinační úloha se vzorovým řešením</w:t>
      </w:r>
    </w:p>
    <w:p>
      <w:pPr>
        <w:pStyle w:val="Pedformtovantext"/>
        <w:rPr>
          <w:rFonts w:ascii="Times New Roman" w:hAnsi="Times New Roman" w:eastAsia="NSimSun" w:cs="Liberation Mono"/>
          <w:color w:val="000000"/>
          <w:sz w:val="24"/>
          <w:szCs w:val="24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</w:p>
    <w:p>
      <w:pPr>
        <w:pStyle w:val="Pedformtovantext"/>
        <w:rPr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Vzorec (počet kombinací k-té třídy na n prvcích, resp. kombinační číslo n nad k) </w:t>
      </w:r>
    </w:p>
    <w:p>
      <w:pPr>
        <w:pStyle w:val="Pedformtovantext"/>
        <w:rPr>
          <w:rFonts w:ascii="Times New Roman" w:hAnsi="Times New Roman" w:eastAsia="NSimSun" w:cs="Liberation Mono"/>
          <w:color w:val="000000"/>
          <w:sz w:val="24"/>
          <w:szCs w:val="24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</w:p>
    <w:p>
      <w:pPr>
        <w:pStyle w:val="Pedformtovantext"/>
        <w:jc w:val="left"/>
        <w:rPr>
          <w:sz w:val="24"/>
          <w:szCs w:val="24"/>
          <w:lang w:val="cs-CZ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C</m:t>
              </m:r>
            </m:e>
            <m:sub>
              <m:r>
                <w:rPr>
                  <w:rFonts w:ascii="Cambria Math" w:hAnsi="Cambria Math"/>
                </w:rPr>
                <m:t xml:space="preserve">k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</m:e>
          </m:d>
          <m:r>
            <w:rPr>
              <w:rFonts w:ascii="Cambria Math" w:hAnsi="Cambria Math"/>
            </w:rPr>
            <m:t xml:space="preserve">=</m:t>
          </m:r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k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!</m:t>
              </m:r>
            </m:num>
            <m:den>
              <m:r>
                <w:rPr>
                  <w:rFonts w:ascii="Cambria Math" w:hAnsi="Cambria Math"/>
                </w:rPr>
                <m:t xml:space="preserve">k</m:t>
              </m:r>
              <m:r>
                <w:rPr>
                  <w:rFonts w:ascii="Cambria Math" w:hAnsi="Cambria Math"/>
                </w:rPr>
                <m:t xml:space="preserve">!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d>
              <m:r>
                <w:rPr>
                  <w:rFonts w:ascii="Cambria Math" w:hAnsi="Cambria Math"/>
                </w:rPr>
                <m:t xml:space="preserve">!</m:t>
              </m:r>
            </m:den>
          </m:f>
        </m:oMath>
      </m:oMathPara>
    </w:p>
    <w:p>
      <w:pPr>
        <w:pStyle w:val="Pedformtovantext"/>
        <w:rPr>
          <w:rFonts w:ascii="Times New Roman" w:hAnsi="Times New Roman" w:eastAsia="NSimSun" w:cs="Liberation Mono"/>
          <w:color w:val="000000"/>
          <w:sz w:val="24"/>
          <w:szCs w:val="24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</w:p>
    <w:p>
      <w:pPr>
        <w:pStyle w:val="Pedformtovantext"/>
        <w:rPr>
          <w:sz w:val="24"/>
          <w:szCs w:val="24"/>
          <w:lang w:val="cs-CZ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cs-CZ"/>
        </w:rPr>
        <w:t xml:space="preserve">Ve třídě je 30 žáků, z nichž tři budou zkoušení. Kolikerým způsobem je to možné, jestliže nezáleží na jejich pořadí? </w:t>
      </w:r>
    </w:p>
    <w:p>
      <w:pPr>
        <w:pStyle w:val="Pedformtovantext"/>
        <w:rPr>
          <w:rFonts w:ascii="Times New Roman" w:hAnsi="Times New Roman" w:eastAsia="NSimSun" w:cs="Liberation Mono"/>
          <w:color w:val="000000"/>
          <w:sz w:val="24"/>
          <w:szCs w:val="24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</w:p>
    <w:p>
      <w:pPr>
        <w:pStyle w:val="Pedformtovantext"/>
        <w:rPr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cs-CZ"/>
        </w:rPr>
        <w:t>Postup bez vzorce, kombinatorickým pravidlem součinu – je v tomto případě již dosti komplikovaný.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</w:p>
    <w:p>
      <w:pPr>
        <w:pStyle w:val="Pedformtovantext"/>
        <w:rPr>
          <w:rFonts w:ascii="Times New Roman" w:hAnsi="Times New Roman" w:eastAsia="NSimSun" w:cs="Liberation Mono"/>
          <w:color w:val="000000"/>
          <w:sz w:val="24"/>
          <w:szCs w:val="24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</w:p>
    <w:p>
      <w:pPr>
        <w:pStyle w:val="Pedformtovantext"/>
        <w:rPr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cs-CZ"/>
        </w:rPr>
        <w:t>Postup se vzorcem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</w:p>
    <w:p>
      <w:pPr>
        <w:pStyle w:val="Pedformtovantext"/>
        <w:rPr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Jelikož z žáků vybíráme podmnožinu zkoušených, ale nezajímá nás pořadí, v němž jdou k tabuli (a samozřejmě ani žádné pořadí zbylých žáků), jedná se o kombinaci. Sledujeme k = 3 (výběr 3 zkoušených) a n = 30 (ze 30 žáků). </w:t>
      </w:r>
    </w:p>
    <w:p>
      <w:pPr>
        <w:pStyle w:val="Pedformtovantext"/>
        <w:rPr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br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30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!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060</m:t>
        </m:r>
      </m:oMath>
    </w:p>
    <w:p>
      <w:pPr>
        <w:pStyle w:val="Pedformtovantext"/>
        <w:rPr>
          <w:sz w:val="24"/>
          <w:szCs w:val="24"/>
          <w:lang w:val="cs-CZ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>Je to možné 4 060 způsoby.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cs-CZ"/>
        </w:rPr>
        <w:t xml:space="preserve">Bonus: Kombinační číslo a Pascalův trojúhelník </w:t>
      </w:r>
    </w:p>
    <w:p>
      <w:pPr>
        <w:pStyle w:val="Normal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  <w:t>Znovu si pročtěte teorii, bonusově můžete ověřit vybraná místa v trojúhelníku početně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Kombinační čísla v uvedeném schématu </w:t>
      </w:r>
    </w:p>
    <w:p>
      <w:pPr>
        <w:pStyle w:val="Normal"/>
        <w:jc w:val="center"/>
        <w:rPr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mr>
              </m:m>
            </m:e>
          </m:d>
        </m:oMath>
      </m:oMathPara>
    </w:p>
    <w:p>
      <w:pPr>
        <w:pStyle w:val="Normal"/>
        <w:jc w:val="center"/>
        <w:rPr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mr>
              </m:m>
            </m:e>
          </m:d>
        </m:oMath>
      </m:oMathPara>
    </w:p>
    <w:p>
      <w:pPr>
        <w:pStyle w:val="Normal"/>
        <w:jc w:val="center"/>
        <w:rPr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mr>
              </m:m>
            </m:e>
          </m:d>
        </m:oMath>
      </m:oMathPara>
    </w:p>
    <w:p>
      <w:pPr>
        <w:pStyle w:val="Normal"/>
        <w:jc w:val="center"/>
        <w:rPr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mr>
              </m:m>
            </m:e>
          </m:d>
        </m:oMath>
      </m:oMathPara>
    </w:p>
    <w:p>
      <w:pPr>
        <w:pStyle w:val="Normal"/>
        <w:jc w:val="center"/>
        <w:rPr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mr>
              </m:m>
            </m:e>
          </m:d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mr>
              </m:m>
            </m:e>
          </m:d>
        </m:oMath>
      </m:oMathPara>
    </w:p>
    <w:p>
      <w:pPr>
        <w:pStyle w:val="Normal"/>
        <w:rPr>
          <w:lang w:val="cs-CZ"/>
        </w:rPr>
      </w:pPr>
      <w:r>
        <w:rPr>
          <w:rFonts w:eastAsia="" w:ascii="Times New Roman" w:hAnsi="Times New Roman" w:eastAsiaTheme="minorEastAsia"/>
          <w:sz w:val="20"/>
          <w:lang w:val="cs-CZ"/>
        </w:rPr>
        <w:t xml:space="preserve">                                            </w:t>
      </w:r>
      <w:r>
        <w:rPr>
          <w:rFonts w:eastAsia="" w:ascii="Times New Roman" w:hAnsi="Times New Roman" w:eastAsiaTheme="minorEastAsia"/>
          <w:sz w:val="20"/>
          <w:lang w:val="cs-CZ"/>
        </w:rPr>
        <w:tab/>
        <w:t xml:space="preserve">                            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</m:m>
          </m:e>
        </m:d>
      </m:oMath>
      <w:r>
        <w:rPr>
          <w:rFonts w:eastAsia="" w:ascii="Times New Roman" w:hAnsi="Times New Roman" w:eastAsiaTheme="minorEastAsia"/>
          <w:sz w:val="20"/>
          <w:lang w:val="cs-CZ"/>
        </w:rPr>
        <w:t xml:space="preserve"> </w:t>
      </w:r>
    </w:p>
    <w:p>
      <w:pPr>
        <w:pStyle w:val="Normal"/>
        <w:rPr>
          <w:lang w:val="cs-CZ"/>
        </w:rPr>
      </w:pPr>
      <w:r>
        <w:rPr>
          <w:rFonts w:eastAsia="" w:ascii="Times New Roman" w:hAnsi="Times New Roman" w:eastAsiaTheme="minorEastAsia"/>
          <w:sz w:val="20"/>
          <w:lang w:val="cs-CZ"/>
        </w:rPr>
        <w:t xml:space="preserve">                                                                       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5</m:t>
                  </m:r>
                </m:e>
              </m:mr>
            </m:m>
          </m:e>
        </m:d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</m:m>
          </m:e>
        </m:d>
      </m:oMath>
      <w:r>
        <w:rPr>
          <w:rFonts w:eastAsia="" w:ascii="Times New Roman" w:hAnsi="Times New Roman" w:eastAsiaTheme="minorEastAsia"/>
          <w:sz w:val="20"/>
          <w:lang w:val="cs-CZ"/>
        </w:rPr>
        <w:t xml:space="preserve"> </w:t>
      </w:r>
    </w:p>
    <w:p>
      <w:pPr>
        <w:pStyle w:val="Normal"/>
        <w:rPr>
          <w:lang w:val="cs-CZ"/>
        </w:rPr>
      </w:pPr>
      <w:r>
        <w:rPr>
          <w:rFonts w:eastAsia="" w:ascii="Times New Roman" w:hAnsi="Times New Roman" w:eastAsiaTheme="minorEastAsia"/>
          <w:sz w:val="20"/>
          <w:lang w:val="cs-CZ"/>
        </w:rPr>
        <w:t xml:space="preserve">                                                  ………………………………………………………………… </w:t>
      </w:r>
    </w:p>
    <w:p>
      <w:pPr>
        <w:pStyle w:val="Normal"/>
        <w:rPr>
          <w:lang w:val="cs-CZ"/>
        </w:rPr>
      </w:pPr>
      <w:r>
        <w:rPr>
          <w:rFonts w:eastAsia="" w:ascii="Times New Roman" w:hAnsi="Times New Roman" w:eastAsiaTheme="minorEastAsia"/>
          <w:sz w:val="20"/>
          <w:lang w:val="cs-CZ"/>
        </w:rPr>
        <w:t xml:space="preserve">                                  ……………………………………………………………………………………</w:t>
      </w:r>
      <w:r>
        <w:rPr>
          <w:rFonts w:eastAsia="" w:ascii="Times New Roman" w:hAnsi="Times New Roman" w:eastAsiaTheme="minorEastAsia"/>
          <w:sz w:val="20"/>
          <w:lang w:val="cs-CZ"/>
        </w:rPr>
        <w:t xml:space="preserve">.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vytvoří zajímavou strukturu (pokračuje do nekonečna), v níž každé číslo je součtem dvou čísel, které nese „na svých ramenou“. Přitom se pro účely matematické elegance zavádí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!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lang w:val="cs-CZ"/>
        </w:rPr>
        <w:t xml:space="preserve">, aby se dalo vše dopočítat a zapadalo do jiných vzorců.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(Zajímavé je, že jsem velmi nedávno zjistil, že některé kalkulačky umí “šarlánsky” spočítat faktoriály necelých kladných čísel, předpokládám, že pomocí tzv. Gama (integrální) funkce, o níž nám něco říkali ve 2. ročníku MFF UK.)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rFonts w:cs="Times New Roman" w:ascii="Times New Roman" w:hAnsi="Times New Roman"/>
          <w:lang w:val="cs-CZ"/>
        </w:rPr>
        <w:t xml:space="preserve">Pascalův trojúhelník po vypočítání získá tuto podobu: </w:t>
      </w:r>
    </w:p>
    <w:p>
      <w:pPr>
        <w:pStyle w:val="Normal"/>
        <w:rPr>
          <w:lang w:val="cs-CZ"/>
        </w:rPr>
      </w:pPr>
      <w:r>
        <w:rPr/>
        <w:drawing>
          <wp:inline distT="0" distB="0" distL="0" distR="0">
            <wp:extent cx="4229100" cy="4092575"/>
            <wp:effectExtent l="0" t="0" r="0" b="0"/>
            <wp:docPr id="1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Zajímavé je, že každé číslo je součtem čísel na svých ramenou. Např. číslo 6 nese na svých ramenou 3 + 3, jinde v pyramidě 5 + 1. Číslo 84 nese na ramenou čísla 56 + 28.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Pokud špičku pyramidy nazveme nultým řádkem a levý kraj pyramidy nultým sloupcem, potom platí: “Číslo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mr>
            </m:m>
          </m:e>
        </m:d>
      </m:oMath>
      <w:r>
        <w:rPr>
          <w:rFonts w:cs="Times New Roman" w:ascii="Times New Roman" w:hAnsi="Times New Roman"/>
          <w:lang w:val="cs-CZ"/>
        </w:rPr>
        <w:t xml:space="preserve"> najdeme v n-tém řádku a k-tém sloupci Pascalova trojúhelníku.”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  <w:t>Příklad</w:t>
      </w:r>
      <w:r>
        <w:rPr>
          <w:rFonts w:cs="Times New Roman" w:ascii="Times New Roman" w:hAnsi="Times New Roman"/>
          <w:lang w:val="cs-CZ"/>
        </w:rPr>
        <w:t xml:space="preserve"> </w:t>
      </w:r>
    </w:p>
    <w:p>
      <w:pPr>
        <w:pStyle w:val="Normal"/>
        <w:jc w:val="left"/>
        <w:rPr>
          <w:rFonts w:ascii="Times New Roman" w:hAnsi="Times New Roman" w:cs="Times New Roman"/>
          <w:lang w:val="cs-CZ"/>
        </w:rPr>
      </w:pPr>
      <w:r>
        <w:rPr/>
      </w:r>
      <m:oMathPara xmlns:m="http://schemas.openxmlformats.org/officeDocument/2006/math">
        <m:oMathParaPr>
          <m:jc m:val="left"/>
        </m:oMathParaPr>
        <m:oMath>
          <m:d>
            <m:dPr>
              <m:begChr m:val="("/>
              <m:endChr m:val=")"/>
            </m:dPr>
            <m:e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!</m:t>
              </m:r>
            </m:num>
            <m:den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!</m:t>
              </m:r>
              <m:r>
                <w:rPr>
                  <w:rFonts w:ascii="Cambria Math" w:hAnsi="Cambria Math"/>
                </w:rPr>
                <m:t xml:space="preserve">∙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d>
              <m:r>
                <w:rPr>
                  <w:rFonts w:ascii="Cambria Math" w:hAnsi="Cambria Math"/>
                </w:rPr>
                <m:t xml:space="preserve">!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5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!</m:t>
              </m:r>
            </m:num>
            <m:den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!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!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5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1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30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15</m:t>
          </m:r>
        </m:oMath>
      </m:oMathPara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  <w:u w:val="single"/>
          <w:lang w:val="cs-CZ"/>
        </w:rPr>
        <w:t>Vlastní bonusové úlohy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32"/>
          <w:szCs w:val="32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  <w:u w:val="single"/>
          <w:lang w:val="cs-CZ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  <w:u w:val="single"/>
          <w:lang w:val="cs-CZ"/>
        </w:rPr>
        <w:t>Ověřte POČETNĚ platnost Pascalova trojúhelníka pro vybrané položky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32"/>
          <w:szCs w:val="32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a)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21</m:t>
        </m:r>
      </m:oMath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    (7. řádek, 2. sloupec; opticky 8. řádek, 3. sloupec)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32"/>
          <w:szCs w:val="32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b)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70</m:t>
        </m:r>
      </m:oMath>
      <w:r>
        <w:rPr>
          <w:sz w:val="32"/>
          <w:szCs w:val="32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>(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32"/>
          <w:u w:val="none"/>
          <w:lang w:val="cs-CZ" w:eastAsia="zh-CN" w:bidi="hi-IN"/>
        </w:rPr>
        <w:t>8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. řádek, 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32"/>
          <w:u w:val="none"/>
          <w:lang w:val="cs-CZ" w:eastAsia="zh-CN" w:bidi="hi-IN"/>
        </w:rPr>
        <w:t>4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. sloupec; opticky 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32"/>
          <w:u w:val="none"/>
          <w:lang w:val="cs-CZ" w:eastAsia="zh-CN" w:bidi="hi-IN"/>
        </w:rPr>
        <w:t>9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. řádek, 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32"/>
          <w:u w:val="none"/>
          <w:lang w:val="cs-CZ" w:eastAsia="zh-CN" w:bidi="hi-IN"/>
        </w:rPr>
        <w:t>5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>. sloupec)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32"/>
          <w:szCs w:val="32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c)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84</m:t>
        </m:r>
      </m:oMath>
      <w:r>
        <w:rPr>
          <w:sz w:val="32"/>
          <w:szCs w:val="32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>(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32"/>
          <w:u w:val="none"/>
          <w:lang w:val="cs-CZ" w:eastAsia="zh-CN" w:bidi="hi-IN"/>
        </w:rPr>
        <w:t>9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. řádek, 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32"/>
          <w:u w:val="none"/>
          <w:lang w:val="cs-CZ" w:eastAsia="zh-CN" w:bidi="hi-IN"/>
        </w:rPr>
        <w:t>6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. sloupec; opticky 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32"/>
          <w:u w:val="none"/>
          <w:lang w:val="cs-CZ" w:eastAsia="zh-CN" w:bidi="hi-IN"/>
        </w:rPr>
        <w:t>10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. řádek, 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32"/>
          <w:u w:val="none"/>
          <w:lang w:val="cs-CZ" w:eastAsia="zh-CN" w:bidi="hi-IN"/>
        </w:rPr>
        <w:t>7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>. sloupec)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32"/>
          <w:szCs w:val="32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d)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mr>
            </m:m>
          </m:e>
        </m:d>
      </m:oMath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    , tedy Pascalův trojúhelník je osově souměrný, na n-tém řádku je k-tá nekrajní buňka zleva totožná s k.tou nekrajní buňkou zprava.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32"/>
          <w:szCs w:val="32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e)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k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k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mr>
            </m:m>
          </m:e>
        </m:d>
      </m:oMath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  <w:u w:val="none"/>
          <w:lang w:val="cs-CZ"/>
        </w:rPr>
        <w:t xml:space="preserve">   , tedy každé číslo je součtem čísel na svých ramenou.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  <w:lang w:val="cs-CZ"/>
        </w:rPr>
      </w:pPr>
      <w:r>
        <w:rPr>
          <w:rFonts w:cs="Times New Roman" w:ascii="Times New Roman" w:hAnsi="Times New Roman"/>
          <w:b/>
          <w:color w:val="000000" w:themeColor="text1"/>
          <w:u w:val="single"/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jc w:val="center"/>
        <w:rPr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Starší vzorce , které na tento list příliš nepomohou</w:t>
      </w:r>
      <w:r>
        <w:rPr>
          <w:lang w:val="cs-CZ"/>
        </w:rPr>
        <w:t xml:space="preserve"> </w:t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Kombinatorické pravidlo součinu (pěkná formulace podle realisticky.cz)</w:t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Počet všech uspořádaných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-tic, jejichž první člen lze vybrat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Times New Roman" w:hAnsi="Times New Roman"/>
          <w:lang w:val="cs-CZ"/>
        </w:rPr>
        <w:t xml:space="preserve"> způsoby, druhý člen (po provedeném výběru prvního)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lang w:val="cs-CZ"/>
        </w:rPr>
        <w:t xml:space="preserve"> způsoby atd. až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-tý člen (po provedeném výběru všech předcházejících)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ascii="Times New Roman" w:hAnsi="Times New Roman"/>
          <w:lang w:val="cs-CZ"/>
        </w:rPr>
        <w:t xml:space="preserve"> způsoby, je roven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ascii="Times New Roman" w:hAnsi="Times New Roman"/>
          <w:lang w:val="cs-CZ"/>
        </w:rPr>
        <w:t xml:space="preserve">. </w:t>
      </w:r>
    </w:p>
    <w:p>
      <w:pPr>
        <w:pStyle w:val="Normal"/>
        <w:jc w:val="both"/>
        <w:rPr>
          <w:rFonts w:ascii="Times New Roman" w:hAnsi="Times New Roman"/>
          <w:b/>
          <w:b/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/>
        </w:rPr>
      </w:r>
    </w:p>
    <w:p>
      <w:pPr>
        <w:pStyle w:val="Normal"/>
        <w:jc w:val="both"/>
        <w:rPr>
          <w:rFonts w:ascii="Times New Roman" w:hAnsi="Times New Roman"/>
          <w:b/>
          <w:b/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Permutace (bez opakování) – obvykle vyjde obtížností nastejno s předchozím pravidlem</w:t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Permutace z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prvků je uspořádaná </w:t>
      </w:r>
      <w:r>
        <w:rPr>
          <w:rFonts w:ascii="Times New Roman" w:hAnsi="Times New Roman"/>
          <w:i/>
          <w:lang w:val="cs-CZ"/>
        </w:rPr>
        <w:t>n-tice</w:t>
      </w:r>
      <w:r>
        <w:rPr>
          <w:rFonts w:ascii="Times New Roman" w:hAnsi="Times New Roman"/>
          <w:lang w:val="cs-CZ"/>
        </w:rPr>
        <w:t xml:space="preserve"> sestavená z těchto prvků tak, že každý se v ní vyskytuje právě jednou. (Existují také permutace s opakováním, kde není omezení na jeden výskyt prvku. Nejsou součástí tematického plánu. Ani nebývají předmětem státních maturit z matematiky.) </w:t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>Počet permutací z 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prvků odpovídá permutačnímu číslu (faktoriálu): </w:t>
      </w:r>
    </w:p>
    <w:p>
      <w:pPr>
        <w:pStyle w:val="Normal"/>
        <w:jc w:val="center"/>
        <w:rPr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P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n</m:t>
          </m:r>
          <m:r>
            <w:rPr>
              <w:rFonts w:ascii="Cambria Math" w:hAnsi="Cambria Math"/>
            </w:rPr>
            <m:t xml:space="preserve">!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n</m:t>
          </m:r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...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1</m:t>
          </m:r>
        </m:oMath>
      </m:oMathPara>
      <w:bookmarkStart w:id="0" w:name="_Hlk23123901"/>
      <w:bookmarkEnd w:id="0"/>
    </w:p>
    <w:p>
      <w:pPr>
        <w:pStyle w:val="Normal"/>
        <w:rPr>
          <w:rFonts w:ascii="Times New Roman" w:hAnsi="Times New Roman" w:cs="Times New Roman"/>
          <w:b/>
          <w:b/>
          <w:u w:val="single"/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Variace (bez opakování) – obvykle se moc nevyplatí</w:t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Variace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-té třídy na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prvcích je uspořádaná </w:t>
      </w:r>
      <w:r>
        <w:rPr>
          <w:rFonts w:ascii="Times New Roman" w:hAnsi="Times New Roman"/>
          <w:i/>
          <w:lang w:val="cs-CZ"/>
        </w:rPr>
        <w:t>k-tice</w:t>
      </w:r>
      <w:r>
        <w:rPr>
          <w:rFonts w:ascii="Times New Roman" w:hAnsi="Times New Roman"/>
          <w:lang w:val="cs-CZ"/>
        </w:rPr>
        <w:t xml:space="preserve"> vybraná z těchto prvků tak, že každý se v ní vyskytuje nejvýše jednou. </w:t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(Existují také variace s opakováním, kde není omezení na jeden výskyt prvku. Nejsou součástí tematického plánu. Ani nebývají předmětem státních maturit z matematiky.) </w:t>
      </w:r>
    </w:p>
    <w:p>
      <w:pPr>
        <w:pStyle w:val="Norma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Normal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Počet variací </w:t>
      </w:r>
      <w:r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-té třídy na </w:t>
      </w:r>
      <w:r>
        <w:rPr>
          <w:rFonts w:ascii="Times New Roman" w:hAnsi="Times New Roman"/>
          <w:i/>
          <w:lang w:val="cs-CZ"/>
        </w:rPr>
        <w:t>n</w:t>
      </w:r>
      <w:r>
        <w:rPr>
          <w:rFonts w:ascii="Times New Roman" w:hAnsi="Times New Roman"/>
          <w:lang w:val="cs-CZ"/>
        </w:rPr>
        <w:t xml:space="preserve"> prvcích vyplývá z kombinatorického pravidla součinu a odpovídá vzorci: </w:t>
      </w:r>
    </w:p>
    <w:p>
      <w:pPr>
        <w:pStyle w:val="Normal"/>
        <w:jc w:val="center"/>
        <w:rPr>
          <w:lang w:val="cs-CZ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V</m:t>
              </m:r>
            </m:e>
            <m:sub>
              <m:r>
                <w:rPr>
                  <w:rFonts w:ascii="Cambria Math" w:hAnsi="Cambria Math"/>
                </w:rPr>
                <m:t xml:space="preserve">k</m:t>
              </m:r>
            </m:sub>
          </m:sSub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n</m:t>
          </m:r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...</m:t>
          </m:r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k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!</m:t>
              </m:r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d>
              <m:r>
                <w:rPr>
                  <w:rFonts w:ascii="Cambria Math" w:hAnsi="Cambria Math"/>
                </w:rPr>
                <m:t xml:space="preserve">!</m:t>
              </m:r>
            </m:den>
          </m:f>
        </m:oMath>
      </m:oMathPara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8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37d62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Zadani" w:customStyle="1">
    <w:name w:val="zadani"/>
    <w:basedOn w:val="Normal"/>
    <w:qFormat/>
    <w:pPr>
      <w:spacing w:beforeAutospacing="1" w:afterAutospacing="1"/>
    </w:pPr>
    <w:rPr>
      <w:rFonts w:ascii="Times New Roman" w:hAnsi="Times New Roman"/>
      <w:lang w:eastAsia="cs-CZ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LibreOffice/7.0.1.2$Windows_X86_64 LibreOffice_project/7cbcfc562f6eb6708b5ff7d7397325de9e764452</Application>
  <Pages>4</Pages>
  <Words>675</Words>
  <Characters>3711</Characters>
  <CharactersWithSpaces>4628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2021-01-07T10:10:00Z</dcterms:created>
  <dc:creator/>
  <dc:description/>
  <dc:language>cs-CZ</dc:language>
  <cp:lastModifiedBy/>
  <dcterms:modified xsi:type="dcterms:W3CDTF">2021-03-16T12:48:59Z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